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t>Accounting Standards in Norway</w:t>
      </w: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E9176D" w:rsidP="00AC730A">
      <w:pPr>
        <w:spacing w:after="0" w:line="480" w:lineRule="auto"/>
        <w:contextualSpacing/>
        <w:jc w:val="center"/>
        <w:rPr>
          <w:rFonts w:ascii="Times New Roman" w:hAnsi="Times New Roman" w:cs="Times New Roman"/>
          <w:sz w:val="24"/>
          <w:szCs w:val="24"/>
        </w:rPr>
      </w:pPr>
      <w:r w:rsidRPr="00AC730A">
        <w:rPr>
          <w:rFonts w:ascii="Times New Roman" w:hAnsi="Times New Roman" w:cs="Times New Roman"/>
          <w:sz w:val="24"/>
          <w:szCs w:val="24"/>
        </w:rPr>
        <w:t>Name:</w:t>
      </w:r>
    </w:p>
    <w:p w:rsidR="004573D8" w:rsidRPr="00AC730A" w:rsidRDefault="00E9176D" w:rsidP="00AC730A">
      <w:pPr>
        <w:spacing w:after="0" w:line="480" w:lineRule="auto"/>
        <w:contextualSpacing/>
        <w:jc w:val="center"/>
        <w:rPr>
          <w:rFonts w:ascii="Times New Roman" w:hAnsi="Times New Roman" w:cs="Times New Roman"/>
          <w:sz w:val="24"/>
          <w:szCs w:val="24"/>
        </w:rPr>
      </w:pPr>
      <w:r w:rsidRPr="00AC730A">
        <w:rPr>
          <w:rFonts w:ascii="Times New Roman" w:hAnsi="Times New Roman" w:cs="Times New Roman"/>
          <w:sz w:val="24"/>
          <w:szCs w:val="24"/>
        </w:rPr>
        <w:t>Institution:</w:t>
      </w:r>
    </w:p>
    <w:p w:rsidR="004573D8" w:rsidRPr="00AC730A" w:rsidRDefault="00E9176D" w:rsidP="00AC730A">
      <w:pPr>
        <w:spacing w:after="0" w:line="480" w:lineRule="auto"/>
        <w:contextualSpacing/>
        <w:jc w:val="center"/>
        <w:rPr>
          <w:rFonts w:ascii="Times New Roman" w:hAnsi="Times New Roman" w:cs="Times New Roman"/>
          <w:sz w:val="24"/>
          <w:szCs w:val="24"/>
        </w:rPr>
      </w:pPr>
      <w:r w:rsidRPr="00AC730A">
        <w:rPr>
          <w:rFonts w:ascii="Times New Roman" w:hAnsi="Times New Roman" w:cs="Times New Roman"/>
          <w:sz w:val="24"/>
          <w:szCs w:val="24"/>
        </w:rPr>
        <w:t>Course:</w:t>
      </w:r>
    </w:p>
    <w:p w:rsidR="004573D8" w:rsidRPr="00AC730A" w:rsidRDefault="00E9176D" w:rsidP="00AC730A">
      <w:pPr>
        <w:spacing w:after="0" w:line="480" w:lineRule="auto"/>
        <w:contextualSpacing/>
        <w:jc w:val="center"/>
        <w:rPr>
          <w:rFonts w:ascii="Times New Roman" w:hAnsi="Times New Roman" w:cs="Times New Roman"/>
          <w:sz w:val="24"/>
          <w:szCs w:val="24"/>
        </w:rPr>
      </w:pPr>
      <w:r w:rsidRPr="00AC730A">
        <w:rPr>
          <w:rFonts w:ascii="Times New Roman" w:hAnsi="Times New Roman" w:cs="Times New Roman"/>
          <w:sz w:val="24"/>
          <w:szCs w:val="24"/>
        </w:rPr>
        <w:t>Instructor:</w:t>
      </w:r>
    </w:p>
    <w:p w:rsidR="004573D8" w:rsidRPr="00AC730A" w:rsidRDefault="00E9176D" w:rsidP="00AC730A">
      <w:pPr>
        <w:spacing w:after="0" w:line="480" w:lineRule="auto"/>
        <w:contextualSpacing/>
        <w:jc w:val="center"/>
        <w:rPr>
          <w:rFonts w:ascii="Times New Roman" w:hAnsi="Times New Roman" w:cs="Times New Roman"/>
          <w:sz w:val="24"/>
          <w:szCs w:val="24"/>
        </w:rPr>
      </w:pPr>
      <w:r w:rsidRPr="00AC730A">
        <w:rPr>
          <w:rFonts w:ascii="Times New Roman" w:hAnsi="Times New Roman" w:cs="Times New Roman"/>
          <w:sz w:val="24"/>
          <w:szCs w:val="24"/>
        </w:rPr>
        <w:t>Date:</w:t>
      </w: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2916DA"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lastRenderedPageBreak/>
        <w:t>Accounting Standards in Norway</w:t>
      </w:r>
    </w:p>
    <w:p w:rsidR="00BE3574"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b/>
          <w:sz w:val="24"/>
          <w:szCs w:val="24"/>
        </w:rPr>
        <w:tab/>
      </w:r>
      <w:r w:rsidRPr="00AC730A">
        <w:rPr>
          <w:rFonts w:ascii="Times New Roman" w:hAnsi="Times New Roman" w:cs="Times New Roman"/>
          <w:sz w:val="24"/>
          <w:szCs w:val="24"/>
        </w:rPr>
        <w:t xml:space="preserve">Monetary accounting in Norway is governed by legislation. </w:t>
      </w:r>
      <w:r w:rsidR="00FB1643" w:rsidRPr="00AC730A">
        <w:rPr>
          <w:rFonts w:ascii="Times New Roman" w:hAnsi="Times New Roman" w:cs="Times New Roman"/>
          <w:sz w:val="24"/>
          <w:szCs w:val="24"/>
        </w:rPr>
        <w:t xml:space="preserve">The Accounting Act of </w:t>
      </w:r>
      <w:r w:rsidRPr="00AC730A">
        <w:rPr>
          <w:rFonts w:ascii="Times New Roman" w:hAnsi="Times New Roman" w:cs="Times New Roman"/>
          <w:sz w:val="24"/>
          <w:szCs w:val="24"/>
        </w:rPr>
        <w:t>1997 specifies the types of or</w:t>
      </w:r>
      <w:r w:rsidR="005072D0" w:rsidRPr="00AC730A">
        <w:rPr>
          <w:rFonts w:ascii="Times New Roman" w:hAnsi="Times New Roman" w:cs="Times New Roman"/>
          <w:sz w:val="24"/>
          <w:szCs w:val="24"/>
        </w:rPr>
        <w:t>ganizations required to report their</w:t>
      </w:r>
      <w:r w:rsidRPr="00AC730A">
        <w:rPr>
          <w:rFonts w:ascii="Times New Roman" w:hAnsi="Times New Roman" w:cs="Times New Roman"/>
          <w:sz w:val="24"/>
          <w:szCs w:val="24"/>
        </w:rPr>
        <w:t xml:space="preserve"> statement</w:t>
      </w:r>
      <w:r w:rsidR="005072D0" w:rsidRPr="00AC730A">
        <w:rPr>
          <w:rFonts w:ascii="Times New Roman" w:hAnsi="Times New Roman" w:cs="Times New Roman"/>
          <w:sz w:val="24"/>
          <w:szCs w:val="24"/>
        </w:rPr>
        <w:t>s</w:t>
      </w:r>
      <w:r w:rsidRPr="00AC730A">
        <w:rPr>
          <w:rFonts w:ascii="Times New Roman" w:hAnsi="Times New Roman" w:cs="Times New Roman"/>
          <w:sz w:val="24"/>
          <w:szCs w:val="24"/>
        </w:rPr>
        <w:t xml:space="preserve"> of cash flows. </w:t>
      </w:r>
      <w:r w:rsidR="00FB1643" w:rsidRPr="00AC730A">
        <w:rPr>
          <w:rFonts w:ascii="Times New Roman" w:hAnsi="Times New Roman" w:cs="Times New Roman"/>
          <w:sz w:val="24"/>
          <w:szCs w:val="24"/>
        </w:rPr>
        <w:t>According to Zenya (2019), t</w:t>
      </w:r>
      <w:r w:rsidRPr="00AC730A">
        <w:rPr>
          <w:rFonts w:ascii="Times New Roman" w:hAnsi="Times New Roman" w:cs="Times New Roman"/>
          <w:sz w:val="24"/>
          <w:szCs w:val="24"/>
        </w:rPr>
        <w:t xml:space="preserve">he </w:t>
      </w:r>
      <w:r w:rsidR="00FB1643" w:rsidRPr="00AC730A">
        <w:rPr>
          <w:rFonts w:ascii="Times New Roman" w:hAnsi="Times New Roman" w:cs="Times New Roman"/>
          <w:sz w:val="24"/>
          <w:szCs w:val="24"/>
        </w:rPr>
        <w:t>Act simplifies things for entities under</w:t>
      </w:r>
      <w:r w:rsidRPr="00AC730A">
        <w:rPr>
          <w:rFonts w:ascii="Times New Roman" w:hAnsi="Times New Roman" w:cs="Times New Roman"/>
          <w:sz w:val="24"/>
          <w:szCs w:val="24"/>
        </w:rPr>
        <w:t xml:space="preserve"> certain magnitu</w:t>
      </w:r>
      <w:r w:rsidR="002F0FC9" w:rsidRPr="00AC730A">
        <w:rPr>
          <w:rFonts w:ascii="Times New Roman" w:hAnsi="Times New Roman" w:cs="Times New Roman"/>
          <w:sz w:val="24"/>
          <w:szCs w:val="24"/>
        </w:rPr>
        <w:t>de and revenue baselines. The country</w:t>
      </w:r>
      <w:r w:rsidRPr="00AC730A">
        <w:rPr>
          <w:rFonts w:ascii="Times New Roman" w:hAnsi="Times New Roman" w:cs="Times New Roman"/>
          <w:sz w:val="24"/>
          <w:szCs w:val="24"/>
        </w:rPr>
        <w:t xml:space="preserve"> has embraced the European IAS </w:t>
      </w:r>
      <w:r w:rsidR="002F0FC9" w:rsidRPr="00AC730A">
        <w:rPr>
          <w:rFonts w:ascii="Times New Roman" w:hAnsi="Times New Roman" w:cs="Times New Roman"/>
          <w:sz w:val="24"/>
          <w:szCs w:val="24"/>
        </w:rPr>
        <w:t>guideline</w:t>
      </w:r>
      <w:r w:rsidRPr="00AC730A">
        <w:rPr>
          <w:rFonts w:ascii="Times New Roman" w:hAnsi="Times New Roman" w:cs="Times New Roman"/>
          <w:sz w:val="24"/>
          <w:szCs w:val="24"/>
        </w:rPr>
        <w:t xml:space="preserve">, requiring Norwegian-listed </w:t>
      </w:r>
      <w:r w:rsidR="002F0FC9" w:rsidRPr="00AC730A">
        <w:rPr>
          <w:rFonts w:ascii="Times New Roman" w:hAnsi="Times New Roman" w:cs="Times New Roman"/>
          <w:sz w:val="24"/>
          <w:szCs w:val="24"/>
        </w:rPr>
        <w:t>firms to submit comprehensive</w:t>
      </w:r>
      <w:r w:rsidR="00FB1643" w:rsidRPr="00AC730A">
        <w:rPr>
          <w:rFonts w:ascii="Times New Roman" w:hAnsi="Times New Roman" w:cs="Times New Roman"/>
          <w:sz w:val="24"/>
          <w:szCs w:val="24"/>
        </w:rPr>
        <w:t xml:space="preserve"> account reports</w:t>
      </w:r>
      <w:r w:rsidRPr="00AC730A">
        <w:rPr>
          <w:rFonts w:ascii="Times New Roman" w:hAnsi="Times New Roman" w:cs="Times New Roman"/>
          <w:sz w:val="24"/>
          <w:szCs w:val="24"/>
        </w:rPr>
        <w:t xml:space="preserve"> per the International Financial Reporting Standards (IFRS). Banks, insurance </w:t>
      </w:r>
      <w:r w:rsidR="002F0FC9" w:rsidRPr="00AC730A">
        <w:rPr>
          <w:rFonts w:ascii="Times New Roman" w:hAnsi="Times New Roman" w:cs="Times New Roman"/>
          <w:sz w:val="24"/>
          <w:szCs w:val="24"/>
        </w:rPr>
        <w:t>agencies</w:t>
      </w:r>
      <w:r w:rsidRPr="00AC730A">
        <w:rPr>
          <w:rFonts w:ascii="Times New Roman" w:hAnsi="Times New Roman" w:cs="Times New Roman"/>
          <w:sz w:val="24"/>
          <w:szCs w:val="24"/>
        </w:rPr>
        <w:t xml:space="preserve">, and other financial </w:t>
      </w:r>
      <w:r w:rsidR="002F0FC9" w:rsidRPr="00AC730A">
        <w:rPr>
          <w:rFonts w:ascii="Times New Roman" w:hAnsi="Times New Roman" w:cs="Times New Roman"/>
          <w:sz w:val="24"/>
          <w:szCs w:val="24"/>
        </w:rPr>
        <w:t>corporations</w:t>
      </w:r>
      <w:r w:rsidRPr="00AC730A">
        <w:rPr>
          <w:rFonts w:ascii="Times New Roman" w:hAnsi="Times New Roman" w:cs="Times New Roman"/>
          <w:sz w:val="24"/>
          <w:szCs w:val="24"/>
        </w:rPr>
        <w:t xml:space="preserve"> must also organize centralized and personal accounts under IFRS (with </w:t>
      </w:r>
      <w:r w:rsidR="002F0FC9" w:rsidRPr="00AC730A">
        <w:rPr>
          <w:rFonts w:ascii="Times New Roman" w:hAnsi="Times New Roman" w:cs="Times New Roman"/>
          <w:sz w:val="24"/>
          <w:szCs w:val="24"/>
        </w:rPr>
        <w:t>assured</w:t>
      </w:r>
      <w:r w:rsidRPr="00AC730A">
        <w:rPr>
          <w:rFonts w:ascii="Times New Roman" w:hAnsi="Times New Roman" w:cs="Times New Roman"/>
          <w:sz w:val="24"/>
          <w:szCs w:val="24"/>
        </w:rPr>
        <w:t xml:space="preserve"> </w:t>
      </w:r>
      <w:r w:rsidR="002F0FC9" w:rsidRPr="00AC730A">
        <w:rPr>
          <w:rFonts w:ascii="Times New Roman" w:hAnsi="Times New Roman" w:cs="Times New Roman"/>
          <w:sz w:val="24"/>
          <w:szCs w:val="24"/>
        </w:rPr>
        <w:t>exclusions</w:t>
      </w:r>
      <w:r w:rsidRPr="00AC730A">
        <w:rPr>
          <w:rFonts w:ascii="Times New Roman" w:hAnsi="Times New Roman" w:cs="Times New Roman"/>
          <w:sz w:val="24"/>
          <w:szCs w:val="24"/>
        </w:rPr>
        <w:t xml:space="preserve"> </w:t>
      </w:r>
      <w:r w:rsidR="002F0FC9" w:rsidRPr="00AC730A">
        <w:rPr>
          <w:rFonts w:ascii="Times New Roman" w:hAnsi="Times New Roman" w:cs="Times New Roman"/>
          <w:sz w:val="24"/>
          <w:szCs w:val="24"/>
        </w:rPr>
        <w:t>practical</w:t>
      </w:r>
      <w:r w:rsidRPr="00AC730A">
        <w:rPr>
          <w:rFonts w:ascii="Times New Roman" w:hAnsi="Times New Roman" w:cs="Times New Roman"/>
          <w:sz w:val="24"/>
          <w:szCs w:val="24"/>
        </w:rPr>
        <w:t xml:space="preserve"> to the </w:t>
      </w:r>
      <w:r w:rsidR="002F0FC9" w:rsidRPr="00AC730A">
        <w:rPr>
          <w:rFonts w:ascii="Times New Roman" w:hAnsi="Times New Roman" w:cs="Times New Roman"/>
          <w:sz w:val="24"/>
          <w:szCs w:val="24"/>
        </w:rPr>
        <w:t>separate</w:t>
      </w:r>
      <w:r w:rsidRPr="00AC730A">
        <w:rPr>
          <w:rFonts w:ascii="Times New Roman" w:hAnsi="Times New Roman" w:cs="Times New Roman"/>
          <w:sz w:val="24"/>
          <w:szCs w:val="24"/>
        </w:rPr>
        <w:t xml:space="preserve"> </w:t>
      </w:r>
      <w:r w:rsidR="002F0FC9" w:rsidRPr="00AC730A">
        <w:rPr>
          <w:rFonts w:ascii="Times New Roman" w:hAnsi="Times New Roman" w:cs="Times New Roman"/>
          <w:sz w:val="24"/>
          <w:szCs w:val="24"/>
        </w:rPr>
        <w:t>books</w:t>
      </w:r>
      <w:r w:rsidRPr="00AC730A">
        <w:rPr>
          <w:rFonts w:ascii="Times New Roman" w:hAnsi="Times New Roman" w:cs="Times New Roman"/>
          <w:sz w:val="24"/>
          <w:szCs w:val="24"/>
        </w:rPr>
        <w:t xml:space="preserve">). </w:t>
      </w:r>
      <w:r w:rsidR="001A279F" w:rsidRPr="00AC730A">
        <w:rPr>
          <w:rFonts w:ascii="Times New Roman" w:hAnsi="Times New Roman" w:cs="Times New Roman"/>
          <w:sz w:val="24"/>
          <w:szCs w:val="24"/>
        </w:rPr>
        <w:t>As per Kainth and Wahlstrøm (2021), a</w:t>
      </w:r>
      <w:r w:rsidRPr="00AC730A">
        <w:rPr>
          <w:rFonts w:ascii="Times New Roman" w:hAnsi="Times New Roman" w:cs="Times New Roman"/>
          <w:sz w:val="24"/>
          <w:szCs w:val="24"/>
        </w:rPr>
        <w:t>ll other Norwegian businesses have the opportunity to use IFRS.</w:t>
      </w:r>
      <w:r w:rsidR="001B523A" w:rsidRPr="00AC730A">
        <w:rPr>
          <w:rFonts w:ascii="Times New Roman" w:hAnsi="Times New Roman" w:cs="Times New Roman"/>
          <w:sz w:val="24"/>
          <w:szCs w:val="24"/>
        </w:rPr>
        <w:t xml:space="preserve"> Enterprises that do not use IFRS must organize financial reports in compliance with Norwegian </w:t>
      </w:r>
      <w:r w:rsidR="00626068" w:rsidRPr="00AC730A">
        <w:rPr>
          <w:rFonts w:ascii="Times New Roman" w:hAnsi="Times New Roman" w:cs="Times New Roman"/>
          <w:sz w:val="24"/>
          <w:szCs w:val="24"/>
        </w:rPr>
        <w:t>commonly</w:t>
      </w:r>
      <w:r w:rsidR="001B523A" w:rsidRPr="00AC730A">
        <w:rPr>
          <w:rFonts w:ascii="Times New Roman" w:hAnsi="Times New Roman" w:cs="Times New Roman"/>
          <w:sz w:val="24"/>
          <w:szCs w:val="24"/>
        </w:rPr>
        <w:t xml:space="preserve"> </w:t>
      </w:r>
      <w:r w:rsidR="00626068" w:rsidRPr="00AC730A">
        <w:rPr>
          <w:rFonts w:ascii="Times New Roman" w:hAnsi="Times New Roman" w:cs="Times New Roman"/>
          <w:sz w:val="24"/>
          <w:szCs w:val="24"/>
        </w:rPr>
        <w:t>acknowledged a</w:t>
      </w:r>
      <w:r w:rsidR="001B523A" w:rsidRPr="00AC730A">
        <w:rPr>
          <w:rFonts w:ascii="Times New Roman" w:hAnsi="Times New Roman" w:cs="Times New Roman"/>
          <w:sz w:val="24"/>
          <w:szCs w:val="24"/>
        </w:rPr>
        <w:t xml:space="preserve">ccounting </w:t>
      </w:r>
      <w:r w:rsidR="00626068" w:rsidRPr="00AC730A">
        <w:rPr>
          <w:rFonts w:ascii="Times New Roman" w:hAnsi="Times New Roman" w:cs="Times New Roman"/>
          <w:sz w:val="24"/>
          <w:szCs w:val="24"/>
        </w:rPr>
        <w:t>doctrines</w:t>
      </w:r>
      <w:r w:rsidR="001B523A" w:rsidRPr="00AC730A">
        <w:rPr>
          <w:rFonts w:ascii="Times New Roman" w:hAnsi="Times New Roman" w:cs="Times New Roman"/>
          <w:sz w:val="24"/>
          <w:szCs w:val="24"/>
        </w:rPr>
        <w:t>, as per the Accounting Act</w:t>
      </w:r>
      <w:r w:rsidR="001A279F" w:rsidRPr="00AC730A">
        <w:rPr>
          <w:rFonts w:ascii="Times New Roman" w:hAnsi="Times New Roman" w:cs="Times New Roman"/>
          <w:sz w:val="24"/>
          <w:szCs w:val="24"/>
        </w:rPr>
        <w:t xml:space="preserve"> (Kainth, A., &amp; Wahlstrøm, 2021)</w:t>
      </w:r>
      <w:r w:rsidR="001B523A" w:rsidRPr="00AC730A">
        <w:rPr>
          <w:rFonts w:ascii="Times New Roman" w:hAnsi="Times New Roman" w:cs="Times New Roman"/>
          <w:sz w:val="24"/>
          <w:szCs w:val="24"/>
        </w:rPr>
        <w:t>. The Norwegian Accounting Standards Board establishes accounting practices. Furthermore, the adoption of IFRS for Limited and Medium-sized Enterprises is being considered.</w:t>
      </w:r>
      <w:r w:rsidR="00E12494" w:rsidRPr="00AC730A">
        <w:rPr>
          <w:rFonts w:ascii="Times New Roman" w:hAnsi="Times New Roman" w:cs="Times New Roman"/>
          <w:sz w:val="24"/>
          <w:szCs w:val="24"/>
        </w:rPr>
        <w:t xml:space="preserve"> This paper discusses the accounting standards in Norway by looking at the regulatory bodies, the annual reporting methods, auditing and certification, and the regulatory guidelines.</w:t>
      </w:r>
    </w:p>
    <w:p w:rsidR="002916DA"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t>Accounting R</w:t>
      </w:r>
      <w:r w:rsidR="007E6CA5" w:rsidRPr="00AC730A">
        <w:rPr>
          <w:rFonts w:ascii="Times New Roman" w:hAnsi="Times New Roman" w:cs="Times New Roman"/>
          <w:b/>
          <w:sz w:val="24"/>
          <w:szCs w:val="24"/>
        </w:rPr>
        <w:t>egulation Bodies</w:t>
      </w:r>
    </w:p>
    <w:p w:rsidR="0036630A" w:rsidRPr="00AC730A" w:rsidRDefault="00E9176D" w:rsidP="00AC730A">
      <w:pPr>
        <w:spacing w:after="0" w:line="480" w:lineRule="auto"/>
        <w:ind w:firstLine="720"/>
        <w:contextualSpacing/>
        <w:rPr>
          <w:rFonts w:ascii="Times New Roman" w:hAnsi="Times New Roman" w:cs="Times New Roman"/>
          <w:sz w:val="24"/>
          <w:szCs w:val="24"/>
        </w:rPr>
      </w:pPr>
      <w:r w:rsidRPr="00AC730A">
        <w:rPr>
          <w:rFonts w:ascii="Times New Roman" w:hAnsi="Times New Roman" w:cs="Times New Roman"/>
          <w:sz w:val="24"/>
          <w:szCs w:val="24"/>
        </w:rPr>
        <w:t>Notes</w:t>
      </w:r>
      <w:r w:rsidR="00023451" w:rsidRPr="00AC730A">
        <w:rPr>
          <w:rFonts w:ascii="Times New Roman" w:hAnsi="Times New Roman" w:cs="Times New Roman"/>
          <w:sz w:val="24"/>
          <w:szCs w:val="24"/>
        </w:rPr>
        <w:t xml:space="preserve"> documents, explan</w:t>
      </w:r>
      <w:r w:rsidR="00700470" w:rsidRPr="00AC730A">
        <w:rPr>
          <w:rFonts w:ascii="Times New Roman" w:hAnsi="Times New Roman" w:cs="Times New Roman"/>
          <w:sz w:val="24"/>
          <w:szCs w:val="24"/>
        </w:rPr>
        <w:t xml:space="preserve">atory material, and </w:t>
      </w:r>
      <w:r w:rsidR="00023451" w:rsidRPr="00AC730A">
        <w:rPr>
          <w:rFonts w:ascii="Times New Roman" w:hAnsi="Times New Roman" w:cs="Times New Roman"/>
          <w:sz w:val="24"/>
          <w:szCs w:val="24"/>
        </w:rPr>
        <w:t>accounting practices are all published by the NASB. It also issues final accounting principles, additional guidance, and explanations</w:t>
      </w:r>
      <w:r w:rsidRPr="00AC730A">
        <w:rPr>
          <w:rFonts w:ascii="Times New Roman" w:hAnsi="Times New Roman" w:cs="Times New Roman"/>
          <w:sz w:val="24"/>
          <w:szCs w:val="24"/>
        </w:rPr>
        <w:t xml:space="preserve"> when needed</w:t>
      </w:r>
      <w:r w:rsidR="00023451" w:rsidRPr="00AC730A">
        <w:rPr>
          <w:rFonts w:ascii="Times New Roman" w:hAnsi="Times New Roman" w:cs="Times New Roman"/>
          <w:sz w:val="24"/>
          <w:szCs w:val="24"/>
        </w:rPr>
        <w:t>. All final guidelines are imperative and must be per the</w:t>
      </w:r>
      <w:r w:rsidR="001A279F" w:rsidRPr="00AC730A">
        <w:rPr>
          <w:rFonts w:ascii="Times New Roman" w:hAnsi="Times New Roman" w:cs="Times New Roman"/>
          <w:sz w:val="24"/>
          <w:szCs w:val="24"/>
        </w:rPr>
        <w:t xml:space="preserve"> Norwegian Accounting Act (Zenya, 2019)</w:t>
      </w:r>
      <w:r w:rsidR="00023451" w:rsidRPr="00AC730A">
        <w:rPr>
          <w:rFonts w:ascii="Times New Roman" w:hAnsi="Times New Roman" w:cs="Times New Roman"/>
          <w:sz w:val="24"/>
          <w:szCs w:val="24"/>
        </w:rPr>
        <w:t xml:space="preserve">. It is advised to use a provisional standard, which is the second stage from a prospectus to an ultimate standard. Apart from small businesses, which might use distinct guidelines for SMEs, all businesses must adhere to the outlined principles. A few standards </w:t>
      </w:r>
      <w:r w:rsidR="00023451" w:rsidRPr="00AC730A">
        <w:rPr>
          <w:rFonts w:ascii="Times New Roman" w:hAnsi="Times New Roman" w:cs="Times New Roman"/>
          <w:sz w:val="24"/>
          <w:szCs w:val="24"/>
        </w:rPr>
        <w:lastRenderedPageBreak/>
        <w:t>include sections for particular industries and other non-profit entities. Small and medium-sized enterprises (SMEs) can opt between guidelines established by the Department of Finance and IFRS guidelines adopted by the EU. The Norwegian Ministry of Finance has put a halt to the widespread implementation of IFRS regulations for SMEs.</w:t>
      </w:r>
    </w:p>
    <w:p w:rsidR="00475271" w:rsidRPr="00AC730A" w:rsidRDefault="00E9176D" w:rsidP="00AC730A">
      <w:pPr>
        <w:spacing w:after="0" w:line="480" w:lineRule="auto"/>
        <w:ind w:firstLine="720"/>
        <w:contextualSpacing/>
        <w:rPr>
          <w:rFonts w:ascii="Times New Roman" w:hAnsi="Times New Roman" w:cs="Times New Roman"/>
          <w:sz w:val="24"/>
          <w:szCs w:val="24"/>
        </w:rPr>
      </w:pPr>
      <w:r w:rsidRPr="00AC730A">
        <w:rPr>
          <w:rFonts w:ascii="Times New Roman" w:hAnsi="Times New Roman" w:cs="Times New Roman"/>
          <w:sz w:val="24"/>
          <w:szCs w:val="24"/>
        </w:rPr>
        <w:t>In Norway, the tax regulations are a separate list of rules from the accounting standard.</w:t>
      </w:r>
    </w:p>
    <w:p w:rsidR="002916DA"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sz w:val="24"/>
          <w:szCs w:val="24"/>
        </w:rPr>
        <w:t>Since Norway is a member of the European Economic Area rather than the EU, the legal process for IFRS regulatory has an adde</w:t>
      </w:r>
      <w:r w:rsidRPr="00AC730A">
        <w:rPr>
          <w:rFonts w:ascii="Times New Roman" w:hAnsi="Times New Roman" w:cs="Times New Roman"/>
          <w:sz w:val="24"/>
          <w:szCs w:val="24"/>
        </w:rPr>
        <w:t>d element. The IFRS regulation must be implemented as part of Norwegian law. This is accomplished through an independent bylaw to the Norwegian Accounting Act. Presently, the centralized text of the bylaw does not include the IFRS standards.</w:t>
      </w:r>
      <w:r w:rsidR="00142CCC" w:rsidRPr="00AC730A">
        <w:rPr>
          <w:rFonts w:ascii="Times New Roman" w:hAnsi="Times New Roman" w:cs="Times New Roman"/>
          <w:sz w:val="24"/>
          <w:szCs w:val="24"/>
        </w:rPr>
        <w:t xml:space="preserve"> The</w:t>
      </w:r>
      <w:r w:rsidR="002F0FC9" w:rsidRPr="00AC730A">
        <w:rPr>
          <w:rFonts w:ascii="Times New Roman" w:hAnsi="Times New Roman" w:cs="Times New Roman"/>
          <w:sz w:val="24"/>
          <w:szCs w:val="24"/>
        </w:rPr>
        <w:t xml:space="preserve"> Norwegian </w:t>
      </w:r>
      <w:r w:rsidR="005D734C" w:rsidRPr="00AC730A">
        <w:rPr>
          <w:rFonts w:ascii="Times New Roman" w:hAnsi="Times New Roman" w:cs="Times New Roman"/>
          <w:sz w:val="24"/>
          <w:szCs w:val="24"/>
        </w:rPr>
        <w:t>accountants’</w:t>
      </w:r>
      <w:r w:rsidR="00142CCC" w:rsidRPr="00AC730A">
        <w:rPr>
          <w:rFonts w:ascii="Times New Roman" w:hAnsi="Times New Roman" w:cs="Times New Roman"/>
          <w:sz w:val="24"/>
          <w:szCs w:val="24"/>
        </w:rPr>
        <w:t xml:space="preserve"> </w:t>
      </w:r>
      <w:r w:rsidR="002F0FC9" w:rsidRPr="00AC730A">
        <w:rPr>
          <w:rFonts w:ascii="Times New Roman" w:hAnsi="Times New Roman" w:cs="Times New Roman"/>
          <w:sz w:val="24"/>
          <w:szCs w:val="24"/>
        </w:rPr>
        <w:t xml:space="preserve">body </w:t>
      </w:r>
      <w:r w:rsidR="00142CCC" w:rsidRPr="00AC730A">
        <w:rPr>
          <w:rFonts w:ascii="Times New Roman" w:hAnsi="Times New Roman" w:cs="Times New Roman"/>
          <w:sz w:val="24"/>
          <w:szCs w:val="24"/>
        </w:rPr>
        <w:t>is the regulatory assoc</w:t>
      </w:r>
      <w:r w:rsidR="001A279F" w:rsidRPr="00AC730A">
        <w:rPr>
          <w:rFonts w:ascii="Times New Roman" w:hAnsi="Times New Roman" w:cs="Times New Roman"/>
          <w:sz w:val="24"/>
          <w:szCs w:val="24"/>
        </w:rPr>
        <w:t>iation for government-licensed a</w:t>
      </w:r>
      <w:r w:rsidR="00142CCC" w:rsidRPr="00AC730A">
        <w:rPr>
          <w:rFonts w:ascii="Times New Roman" w:hAnsi="Times New Roman" w:cs="Times New Roman"/>
          <w:sz w:val="24"/>
          <w:szCs w:val="24"/>
        </w:rPr>
        <w:t xml:space="preserve">ccountants credentialed as accountants by The Financial Supervisory Authority. The institute has 5000 members who work as accountants and auditors in the government and private industry and industries and universities. Roughly 1000 of the members are people enrolled to become statutory accountants. The Norwegian Institute of Public Accountants </w:t>
      </w:r>
      <w:r w:rsidR="005D734C" w:rsidRPr="00AC730A">
        <w:rPr>
          <w:rFonts w:ascii="Times New Roman" w:hAnsi="Times New Roman" w:cs="Times New Roman"/>
          <w:sz w:val="24"/>
          <w:szCs w:val="24"/>
        </w:rPr>
        <w:t xml:space="preserve">is affiliated with </w:t>
      </w:r>
      <w:r w:rsidR="00142CCC" w:rsidRPr="00AC730A">
        <w:rPr>
          <w:rFonts w:ascii="Times New Roman" w:hAnsi="Times New Roman" w:cs="Times New Roman"/>
          <w:sz w:val="24"/>
          <w:szCs w:val="24"/>
        </w:rPr>
        <w:t>the International Federation of Accountant</w:t>
      </w:r>
      <w:r w:rsidR="00F458E2">
        <w:rPr>
          <w:rFonts w:ascii="Times New Roman" w:hAnsi="Times New Roman" w:cs="Times New Roman"/>
          <w:sz w:val="24"/>
          <w:szCs w:val="24"/>
        </w:rPr>
        <w:t>s (IFAC), Accountancy Europe together with the</w:t>
      </w:r>
      <w:r w:rsidR="00142CCC" w:rsidRPr="00AC730A">
        <w:rPr>
          <w:rFonts w:ascii="Times New Roman" w:hAnsi="Times New Roman" w:cs="Times New Roman"/>
          <w:sz w:val="24"/>
          <w:szCs w:val="24"/>
        </w:rPr>
        <w:t xml:space="preserve"> Nordic Federation of Public Acc</w:t>
      </w:r>
      <w:bookmarkStart w:id="0" w:name="_GoBack"/>
      <w:bookmarkEnd w:id="0"/>
      <w:r w:rsidR="00142CCC" w:rsidRPr="00AC730A">
        <w:rPr>
          <w:rFonts w:ascii="Times New Roman" w:hAnsi="Times New Roman" w:cs="Times New Roman"/>
          <w:sz w:val="24"/>
          <w:szCs w:val="24"/>
        </w:rPr>
        <w:t>ountants (NRF)</w:t>
      </w:r>
    </w:p>
    <w:p w:rsidR="007C1DDB"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sz w:val="24"/>
          <w:szCs w:val="24"/>
        </w:rPr>
        <w:tab/>
        <w:t xml:space="preserve">The </w:t>
      </w:r>
      <w:r w:rsidR="005D734C" w:rsidRPr="00AC730A">
        <w:rPr>
          <w:rFonts w:ascii="Times New Roman" w:hAnsi="Times New Roman" w:cs="Times New Roman"/>
          <w:sz w:val="24"/>
          <w:szCs w:val="24"/>
        </w:rPr>
        <w:t xml:space="preserve">Auditing and Auditors Act </w:t>
      </w:r>
      <w:r w:rsidR="001A279F" w:rsidRPr="00AC730A">
        <w:rPr>
          <w:rFonts w:ascii="Times New Roman" w:hAnsi="Times New Roman" w:cs="Times New Roman"/>
          <w:sz w:val="24"/>
          <w:szCs w:val="24"/>
        </w:rPr>
        <w:t xml:space="preserve">of </w:t>
      </w:r>
      <w:r w:rsidRPr="00AC730A">
        <w:rPr>
          <w:rFonts w:ascii="Times New Roman" w:hAnsi="Times New Roman" w:cs="Times New Roman"/>
          <w:sz w:val="24"/>
          <w:szCs w:val="24"/>
        </w:rPr>
        <w:t xml:space="preserve">1999 (Audit Act) </w:t>
      </w:r>
      <w:r w:rsidR="005D734C" w:rsidRPr="00AC730A">
        <w:rPr>
          <w:rFonts w:ascii="Times New Roman" w:hAnsi="Times New Roman" w:cs="Times New Roman"/>
          <w:sz w:val="24"/>
          <w:szCs w:val="24"/>
        </w:rPr>
        <w:t xml:space="preserve">controls </w:t>
      </w:r>
      <w:r w:rsidRPr="00AC730A">
        <w:rPr>
          <w:rFonts w:ascii="Times New Roman" w:hAnsi="Times New Roman" w:cs="Times New Roman"/>
          <w:sz w:val="24"/>
          <w:szCs w:val="24"/>
        </w:rPr>
        <w:t xml:space="preserve">accountants to </w:t>
      </w:r>
      <w:r w:rsidR="005D734C" w:rsidRPr="00AC730A">
        <w:rPr>
          <w:rFonts w:ascii="Times New Roman" w:hAnsi="Times New Roman" w:cs="Times New Roman"/>
          <w:sz w:val="24"/>
          <w:szCs w:val="24"/>
        </w:rPr>
        <w:t>execute</w:t>
      </w:r>
      <w:r w:rsidRPr="00AC730A">
        <w:rPr>
          <w:rFonts w:ascii="Times New Roman" w:hAnsi="Times New Roman" w:cs="Times New Roman"/>
          <w:sz w:val="24"/>
          <w:szCs w:val="24"/>
        </w:rPr>
        <w:t xml:space="preserve"> </w:t>
      </w:r>
      <w:r w:rsidR="005D734C" w:rsidRPr="00AC730A">
        <w:rPr>
          <w:rFonts w:ascii="Times New Roman" w:hAnsi="Times New Roman" w:cs="Times New Roman"/>
          <w:sz w:val="24"/>
          <w:szCs w:val="24"/>
        </w:rPr>
        <w:t>legal</w:t>
      </w:r>
      <w:r w:rsidR="00005886" w:rsidRPr="00AC730A">
        <w:rPr>
          <w:rFonts w:ascii="Times New Roman" w:hAnsi="Times New Roman" w:cs="Times New Roman"/>
          <w:sz w:val="24"/>
          <w:szCs w:val="24"/>
        </w:rPr>
        <w:t xml:space="preserve"> audits and statutory</w:t>
      </w:r>
      <w:r w:rsidR="005D734C" w:rsidRPr="00AC730A">
        <w:rPr>
          <w:rFonts w:ascii="Times New Roman" w:hAnsi="Times New Roman" w:cs="Times New Roman"/>
          <w:sz w:val="24"/>
          <w:szCs w:val="24"/>
        </w:rPr>
        <w:t xml:space="preserve"> undertakings </w:t>
      </w:r>
      <w:r w:rsidR="001A279F" w:rsidRPr="00AC730A">
        <w:rPr>
          <w:rFonts w:ascii="Times New Roman" w:hAnsi="Times New Roman" w:cs="Times New Roman"/>
          <w:sz w:val="24"/>
          <w:szCs w:val="24"/>
        </w:rPr>
        <w:t>(IFAC, 2021)</w:t>
      </w:r>
      <w:r w:rsidRPr="00AC730A">
        <w:rPr>
          <w:rFonts w:ascii="Times New Roman" w:hAnsi="Times New Roman" w:cs="Times New Roman"/>
          <w:sz w:val="24"/>
          <w:szCs w:val="24"/>
        </w:rPr>
        <w:t xml:space="preserve">. The Act </w:t>
      </w:r>
      <w:r w:rsidR="005D734C" w:rsidRPr="00AC730A">
        <w:rPr>
          <w:rFonts w:ascii="Times New Roman" w:hAnsi="Times New Roman" w:cs="Times New Roman"/>
          <w:sz w:val="24"/>
          <w:szCs w:val="24"/>
        </w:rPr>
        <w:t>creates</w:t>
      </w:r>
      <w:r w:rsidRPr="00AC730A">
        <w:rPr>
          <w:rFonts w:ascii="Times New Roman" w:hAnsi="Times New Roman" w:cs="Times New Roman"/>
          <w:sz w:val="24"/>
          <w:szCs w:val="24"/>
        </w:rPr>
        <w:t xml:space="preserve"> </w:t>
      </w:r>
      <w:r w:rsidR="00005886" w:rsidRPr="00AC730A">
        <w:rPr>
          <w:rFonts w:ascii="Times New Roman" w:hAnsi="Times New Roman" w:cs="Times New Roman"/>
          <w:sz w:val="24"/>
          <w:szCs w:val="24"/>
        </w:rPr>
        <w:t>preliminary</w:t>
      </w:r>
      <w:r w:rsidRPr="00AC730A">
        <w:rPr>
          <w:rFonts w:ascii="Times New Roman" w:hAnsi="Times New Roman" w:cs="Times New Roman"/>
          <w:sz w:val="24"/>
          <w:szCs w:val="24"/>
        </w:rPr>
        <w:t xml:space="preserve"> and </w:t>
      </w:r>
      <w:r w:rsidR="005D734C" w:rsidRPr="00AC730A">
        <w:rPr>
          <w:rFonts w:ascii="Times New Roman" w:hAnsi="Times New Roman" w:cs="Times New Roman"/>
          <w:sz w:val="24"/>
          <w:szCs w:val="24"/>
        </w:rPr>
        <w:t>ongoing</w:t>
      </w:r>
      <w:r w:rsidRPr="00AC730A">
        <w:rPr>
          <w:rFonts w:ascii="Times New Roman" w:hAnsi="Times New Roman" w:cs="Times New Roman"/>
          <w:sz w:val="24"/>
          <w:szCs w:val="24"/>
        </w:rPr>
        <w:t xml:space="preserve"> </w:t>
      </w:r>
      <w:r w:rsidR="005D734C" w:rsidRPr="00AC730A">
        <w:rPr>
          <w:rFonts w:ascii="Times New Roman" w:hAnsi="Times New Roman" w:cs="Times New Roman"/>
          <w:sz w:val="24"/>
          <w:szCs w:val="24"/>
        </w:rPr>
        <w:t>proficiency growth</w:t>
      </w:r>
      <w:r w:rsidRPr="00AC730A">
        <w:rPr>
          <w:rFonts w:ascii="Times New Roman" w:hAnsi="Times New Roman" w:cs="Times New Roman"/>
          <w:sz w:val="24"/>
          <w:szCs w:val="24"/>
        </w:rPr>
        <w:t xml:space="preserve">, </w:t>
      </w:r>
      <w:r w:rsidR="005D734C" w:rsidRPr="00AC730A">
        <w:rPr>
          <w:rFonts w:ascii="Times New Roman" w:hAnsi="Times New Roman" w:cs="Times New Roman"/>
          <w:sz w:val="24"/>
          <w:szCs w:val="24"/>
        </w:rPr>
        <w:t>training, and practice</w:t>
      </w:r>
      <w:r w:rsidRPr="00AC730A">
        <w:rPr>
          <w:rFonts w:ascii="Times New Roman" w:hAnsi="Times New Roman" w:cs="Times New Roman"/>
          <w:sz w:val="24"/>
          <w:szCs w:val="24"/>
        </w:rPr>
        <w:t xml:space="preserve"> to </w:t>
      </w:r>
      <w:r w:rsidR="005D734C" w:rsidRPr="00AC730A">
        <w:rPr>
          <w:rFonts w:ascii="Times New Roman" w:hAnsi="Times New Roman" w:cs="Times New Roman"/>
          <w:sz w:val="24"/>
          <w:szCs w:val="24"/>
        </w:rPr>
        <w:t>certif</w:t>
      </w:r>
      <w:r w:rsidRPr="00AC730A">
        <w:rPr>
          <w:rFonts w:ascii="Times New Roman" w:hAnsi="Times New Roman" w:cs="Times New Roman"/>
          <w:sz w:val="24"/>
          <w:szCs w:val="24"/>
        </w:rPr>
        <w:t xml:space="preserve">y </w:t>
      </w:r>
      <w:r w:rsidR="005D734C" w:rsidRPr="00AC730A">
        <w:rPr>
          <w:rFonts w:ascii="Times New Roman" w:hAnsi="Times New Roman" w:cs="Times New Roman"/>
          <w:sz w:val="24"/>
          <w:szCs w:val="24"/>
        </w:rPr>
        <w:t>moral</w:t>
      </w:r>
      <w:r w:rsidRPr="00AC730A">
        <w:rPr>
          <w:rFonts w:ascii="Times New Roman" w:hAnsi="Times New Roman" w:cs="Times New Roman"/>
          <w:sz w:val="24"/>
          <w:szCs w:val="24"/>
        </w:rPr>
        <w:t xml:space="preserve"> </w:t>
      </w:r>
      <w:r w:rsidR="005D734C" w:rsidRPr="00AC730A">
        <w:rPr>
          <w:rFonts w:ascii="Times New Roman" w:hAnsi="Times New Roman" w:cs="Times New Roman"/>
          <w:sz w:val="24"/>
          <w:szCs w:val="24"/>
        </w:rPr>
        <w:t>necessities, public accountability, and license revocation. There exist</w:t>
      </w:r>
      <w:r w:rsidRPr="00AC730A">
        <w:rPr>
          <w:rFonts w:ascii="Times New Roman" w:hAnsi="Times New Roman" w:cs="Times New Roman"/>
          <w:sz w:val="24"/>
          <w:szCs w:val="24"/>
        </w:rPr>
        <w:t xml:space="preserve"> two types of public ac</w:t>
      </w:r>
      <w:r w:rsidR="005D734C" w:rsidRPr="00AC730A">
        <w:rPr>
          <w:rFonts w:ascii="Times New Roman" w:hAnsi="Times New Roman" w:cs="Times New Roman"/>
          <w:sz w:val="24"/>
          <w:szCs w:val="24"/>
        </w:rPr>
        <w:t>counting professionals in the country</w:t>
      </w:r>
      <w:r w:rsidRPr="00AC730A">
        <w:rPr>
          <w:rFonts w:ascii="Times New Roman" w:hAnsi="Times New Roman" w:cs="Times New Roman"/>
          <w:sz w:val="24"/>
          <w:szCs w:val="24"/>
        </w:rPr>
        <w:t xml:space="preserve">: State-sanctioned public </w:t>
      </w:r>
      <w:r w:rsidR="005D734C" w:rsidRPr="00AC730A">
        <w:rPr>
          <w:rFonts w:ascii="Times New Roman" w:hAnsi="Times New Roman" w:cs="Times New Roman"/>
          <w:sz w:val="24"/>
          <w:szCs w:val="24"/>
        </w:rPr>
        <w:t>bookkeepers</w:t>
      </w:r>
      <w:r w:rsidRPr="00AC730A">
        <w:rPr>
          <w:rFonts w:ascii="Times New Roman" w:hAnsi="Times New Roman" w:cs="Times New Roman"/>
          <w:sz w:val="24"/>
          <w:szCs w:val="24"/>
        </w:rPr>
        <w:t xml:space="preserve"> and registered public </w:t>
      </w:r>
      <w:r w:rsidR="005D734C" w:rsidRPr="00AC730A">
        <w:rPr>
          <w:rFonts w:ascii="Times New Roman" w:hAnsi="Times New Roman" w:cs="Times New Roman"/>
          <w:sz w:val="24"/>
          <w:szCs w:val="24"/>
        </w:rPr>
        <w:t>certified public accountant</w:t>
      </w:r>
      <w:r w:rsidRPr="00AC730A">
        <w:rPr>
          <w:rFonts w:ascii="Times New Roman" w:hAnsi="Times New Roman" w:cs="Times New Roman"/>
          <w:sz w:val="24"/>
          <w:szCs w:val="24"/>
        </w:rPr>
        <w:t>s. The former must</w:t>
      </w:r>
      <w:r w:rsidR="00D87E58" w:rsidRPr="00AC730A">
        <w:rPr>
          <w:rFonts w:ascii="Times New Roman" w:hAnsi="Times New Roman" w:cs="Times New Roman"/>
          <w:sz w:val="24"/>
          <w:szCs w:val="24"/>
        </w:rPr>
        <w:t xml:space="preserve"> possess a postgraduate</w:t>
      </w:r>
      <w:r w:rsidRPr="00AC730A">
        <w:rPr>
          <w:rFonts w:ascii="Times New Roman" w:hAnsi="Times New Roman" w:cs="Times New Roman"/>
          <w:sz w:val="24"/>
          <w:szCs w:val="24"/>
        </w:rPr>
        <w:t xml:space="preserve"> d</w:t>
      </w:r>
      <w:r w:rsidR="005D734C" w:rsidRPr="00AC730A">
        <w:rPr>
          <w:rFonts w:ascii="Times New Roman" w:hAnsi="Times New Roman" w:cs="Times New Roman"/>
          <w:sz w:val="24"/>
          <w:szCs w:val="24"/>
        </w:rPr>
        <w:t>egree in a related field</w:t>
      </w:r>
      <w:r w:rsidRPr="00AC730A">
        <w:rPr>
          <w:rFonts w:ascii="Times New Roman" w:hAnsi="Times New Roman" w:cs="Times New Roman"/>
          <w:sz w:val="24"/>
          <w:szCs w:val="24"/>
        </w:rPr>
        <w:t xml:space="preserve">, whereas the latter must have a bachelor's degree in similar fields. Furthermore, to acquire a license, both types of public accounting </w:t>
      </w:r>
      <w:r w:rsidRPr="00AC730A">
        <w:rPr>
          <w:rFonts w:ascii="Times New Roman" w:hAnsi="Times New Roman" w:cs="Times New Roman"/>
          <w:sz w:val="24"/>
          <w:szCs w:val="24"/>
        </w:rPr>
        <w:lastRenderedPageBreak/>
        <w:t>profess</w:t>
      </w:r>
      <w:r w:rsidR="005D734C" w:rsidRPr="00AC730A">
        <w:rPr>
          <w:rFonts w:ascii="Times New Roman" w:hAnsi="Times New Roman" w:cs="Times New Roman"/>
          <w:sz w:val="24"/>
          <w:szCs w:val="24"/>
        </w:rPr>
        <w:t>ionals must have three years of experience</w:t>
      </w:r>
      <w:r w:rsidRPr="00AC730A">
        <w:rPr>
          <w:rFonts w:ascii="Times New Roman" w:hAnsi="Times New Roman" w:cs="Times New Roman"/>
          <w:sz w:val="24"/>
          <w:szCs w:val="24"/>
        </w:rPr>
        <w:t xml:space="preserve"> </w:t>
      </w:r>
      <w:r w:rsidRPr="00AC730A">
        <w:rPr>
          <w:rFonts w:ascii="Times New Roman" w:hAnsi="Times New Roman" w:cs="Times New Roman"/>
          <w:sz w:val="24"/>
          <w:szCs w:val="24"/>
        </w:rPr>
        <w:t xml:space="preserve">in </w:t>
      </w:r>
      <w:r w:rsidR="005D734C" w:rsidRPr="00AC730A">
        <w:rPr>
          <w:rFonts w:ascii="Times New Roman" w:hAnsi="Times New Roman" w:cs="Times New Roman"/>
          <w:sz w:val="24"/>
          <w:szCs w:val="24"/>
        </w:rPr>
        <w:t>bookkeeping practice, clear</w:t>
      </w:r>
      <w:r w:rsidRPr="00AC730A">
        <w:rPr>
          <w:rFonts w:ascii="Times New Roman" w:hAnsi="Times New Roman" w:cs="Times New Roman"/>
          <w:sz w:val="24"/>
          <w:szCs w:val="24"/>
        </w:rPr>
        <w:t xml:space="preserve"> </w:t>
      </w:r>
      <w:r w:rsidR="00350AFF" w:rsidRPr="00AC730A">
        <w:rPr>
          <w:rFonts w:ascii="Times New Roman" w:hAnsi="Times New Roman" w:cs="Times New Roman"/>
          <w:sz w:val="24"/>
          <w:szCs w:val="24"/>
        </w:rPr>
        <w:t>the a</w:t>
      </w:r>
      <w:r w:rsidRPr="00AC730A">
        <w:rPr>
          <w:rFonts w:ascii="Times New Roman" w:hAnsi="Times New Roman" w:cs="Times New Roman"/>
          <w:sz w:val="24"/>
          <w:szCs w:val="24"/>
        </w:rPr>
        <w:t xml:space="preserve">uditor's </w:t>
      </w:r>
      <w:r w:rsidR="00350AFF" w:rsidRPr="00AC730A">
        <w:rPr>
          <w:rFonts w:ascii="Times New Roman" w:hAnsi="Times New Roman" w:cs="Times New Roman"/>
          <w:sz w:val="24"/>
          <w:szCs w:val="24"/>
        </w:rPr>
        <w:t>examination of practical capacity</w:t>
      </w:r>
      <w:r w:rsidRPr="00AC730A">
        <w:rPr>
          <w:rFonts w:ascii="Times New Roman" w:hAnsi="Times New Roman" w:cs="Times New Roman"/>
          <w:sz w:val="24"/>
          <w:szCs w:val="24"/>
        </w:rPr>
        <w:t xml:space="preserve"> conducted by the FSA, and prove a high reputation.</w:t>
      </w:r>
      <w:r w:rsidR="00871996" w:rsidRPr="00AC730A">
        <w:rPr>
          <w:rFonts w:ascii="Times New Roman" w:hAnsi="Times New Roman" w:cs="Times New Roman"/>
          <w:sz w:val="24"/>
          <w:szCs w:val="24"/>
        </w:rPr>
        <w:t xml:space="preserve"> There is no distinction between professional solutions that these two groups of accountants can provide to the public. Notwithstanding, the Oslo Stock Exchange</w:t>
      </w:r>
      <w:r w:rsidR="00F068A8" w:rsidRPr="00AC730A">
        <w:rPr>
          <w:rFonts w:ascii="Times New Roman" w:hAnsi="Times New Roman" w:cs="Times New Roman"/>
          <w:sz w:val="24"/>
          <w:szCs w:val="24"/>
        </w:rPr>
        <w:t xml:space="preserve"> requires that the accountants in publicly</w:t>
      </w:r>
      <w:r w:rsidR="00871996" w:rsidRPr="00AC730A">
        <w:rPr>
          <w:rFonts w:ascii="Times New Roman" w:hAnsi="Times New Roman" w:cs="Times New Roman"/>
          <w:sz w:val="24"/>
          <w:szCs w:val="24"/>
        </w:rPr>
        <w:t xml:space="preserve"> traded firms be state-sanctioned chartered accountants.</w:t>
      </w:r>
    </w:p>
    <w:p w:rsidR="00F068A8"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t>Annual Accounting Reports</w:t>
      </w:r>
    </w:p>
    <w:p w:rsidR="00F068A8"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b/>
          <w:sz w:val="24"/>
          <w:szCs w:val="24"/>
        </w:rPr>
        <w:tab/>
      </w:r>
      <w:r w:rsidRPr="00AC730A">
        <w:rPr>
          <w:rFonts w:ascii="Times New Roman" w:hAnsi="Times New Roman" w:cs="Times New Roman"/>
          <w:sz w:val="24"/>
          <w:szCs w:val="24"/>
        </w:rPr>
        <w:t xml:space="preserve">As per the Accounting Act, all private limited firms are obliged to publish their audited returns, directors, </w:t>
      </w:r>
      <w:r w:rsidR="0001712A" w:rsidRPr="00AC730A">
        <w:rPr>
          <w:rFonts w:ascii="Times New Roman" w:hAnsi="Times New Roman" w:cs="Times New Roman"/>
          <w:sz w:val="24"/>
          <w:szCs w:val="24"/>
        </w:rPr>
        <w:t>and audit</w:t>
      </w:r>
      <w:r w:rsidRPr="00AC730A">
        <w:rPr>
          <w:rFonts w:ascii="Times New Roman" w:hAnsi="Times New Roman" w:cs="Times New Roman"/>
          <w:sz w:val="24"/>
          <w:szCs w:val="24"/>
        </w:rPr>
        <w:t xml:space="preserve"> findings within one month of the annual meeting's adoption. The financial statement must be delivered to the register of the general led</w:t>
      </w:r>
      <w:r w:rsidRPr="00AC730A">
        <w:rPr>
          <w:rFonts w:ascii="Times New Roman" w:hAnsi="Times New Roman" w:cs="Times New Roman"/>
          <w:sz w:val="24"/>
          <w:szCs w:val="24"/>
        </w:rPr>
        <w:t>ger before it can be released. Overseas enterprise divisions must also document an edition of the entity's annual accounts, the director's summary, and the statement of financial position (for the company of which the division is a part). These records are</w:t>
      </w:r>
      <w:r w:rsidRPr="00AC730A">
        <w:rPr>
          <w:rFonts w:ascii="Times New Roman" w:hAnsi="Times New Roman" w:cs="Times New Roman"/>
          <w:sz w:val="24"/>
          <w:szCs w:val="24"/>
        </w:rPr>
        <w:t xml:space="preserve"> open to the public.</w:t>
      </w:r>
      <w:r w:rsidR="00AB0D3D" w:rsidRPr="00AC730A">
        <w:rPr>
          <w:rFonts w:ascii="Times New Roman" w:hAnsi="Times New Roman" w:cs="Times New Roman"/>
          <w:sz w:val="24"/>
          <w:szCs w:val="24"/>
        </w:rPr>
        <w:t xml:space="preserve"> The annual accounts of entities about the financial reporting commitment are accessible to the public. </w:t>
      </w:r>
      <w:r w:rsidR="00774F3C" w:rsidRPr="00AC730A">
        <w:rPr>
          <w:rFonts w:ascii="Times New Roman" w:hAnsi="Times New Roman" w:cs="Times New Roman"/>
          <w:sz w:val="24"/>
          <w:szCs w:val="24"/>
        </w:rPr>
        <w:t>As per Berg and Kvidal (2017), t</w:t>
      </w:r>
      <w:r w:rsidR="00AB0D3D" w:rsidRPr="00AC730A">
        <w:rPr>
          <w:rFonts w:ascii="Times New Roman" w:hAnsi="Times New Roman" w:cs="Times New Roman"/>
          <w:sz w:val="24"/>
          <w:szCs w:val="24"/>
        </w:rPr>
        <w:t xml:space="preserve">he goal is to publicize necessary details about a </w:t>
      </w:r>
      <w:r w:rsidR="00562EED" w:rsidRPr="00AC730A">
        <w:rPr>
          <w:rFonts w:ascii="Times New Roman" w:hAnsi="Times New Roman" w:cs="Times New Roman"/>
          <w:sz w:val="24"/>
          <w:szCs w:val="24"/>
        </w:rPr>
        <w:t>firm's actual economic condition</w:t>
      </w:r>
      <w:r w:rsidR="00AB0D3D" w:rsidRPr="00AC730A">
        <w:rPr>
          <w:rFonts w:ascii="Times New Roman" w:hAnsi="Times New Roman" w:cs="Times New Roman"/>
          <w:sz w:val="24"/>
          <w:szCs w:val="24"/>
        </w:rPr>
        <w:t xml:space="preserve"> and place so that the data user can make correct choices. Someone contemplating applying for a position with the company may find the annual accounts beneficial. People</w:t>
      </w:r>
      <w:r w:rsidR="00763A9F" w:rsidRPr="00AC730A">
        <w:rPr>
          <w:rFonts w:ascii="Times New Roman" w:hAnsi="Times New Roman" w:cs="Times New Roman"/>
          <w:sz w:val="24"/>
          <w:szCs w:val="24"/>
        </w:rPr>
        <w:t> who</w:t>
      </w:r>
      <w:r w:rsidR="00AB0D3D" w:rsidRPr="00AC730A">
        <w:rPr>
          <w:rFonts w:ascii="Times New Roman" w:hAnsi="Times New Roman" w:cs="Times New Roman"/>
          <w:sz w:val="24"/>
          <w:szCs w:val="24"/>
        </w:rPr>
        <w:t xml:space="preserve"> </w:t>
      </w:r>
      <w:r w:rsidR="00763A9F" w:rsidRPr="00AC730A">
        <w:rPr>
          <w:rFonts w:ascii="Times New Roman" w:hAnsi="Times New Roman" w:cs="Times New Roman"/>
          <w:sz w:val="24"/>
          <w:szCs w:val="24"/>
        </w:rPr>
        <w:t>invest</w:t>
      </w:r>
      <w:r w:rsidR="00AB0D3D" w:rsidRPr="00AC730A">
        <w:rPr>
          <w:rFonts w:ascii="Times New Roman" w:hAnsi="Times New Roman" w:cs="Times New Roman"/>
          <w:sz w:val="24"/>
          <w:szCs w:val="24"/>
        </w:rPr>
        <w:t xml:space="preserve"> in the business are another illustration.</w:t>
      </w:r>
    </w:p>
    <w:p w:rsidR="009E7E10"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sz w:val="24"/>
          <w:szCs w:val="24"/>
        </w:rPr>
        <w:tab/>
        <w:t>Annual preparation of financial statements is done</w:t>
      </w:r>
      <w:r w:rsidRPr="00AC730A">
        <w:rPr>
          <w:rFonts w:ascii="Times New Roman" w:hAnsi="Times New Roman" w:cs="Times New Roman"/>
          <w:sz w:val="24"/>
          <w:szCs w:val="24"/>
        </w:rPr>
        <w:t xml:space="preserve"> in compliance with the conditions of the Accounting Act and associated regulations, as well as generally accepted accounting best practices. As suggested earlier, distinct streamlined regulations for consolidated financial statements in small businesses h</w:t>
      </w:r>
      <w:r w:rsidRPr="00AC730A">
        <w:rPr>
          <w:rFonts w:ascii="Times New Roman" w:hAnsi="Times New Roman" w:cs="Times New Roman"/>
          <w:sz w:val="24"/>
          <w:szCs w:val="24"/>
        </w:rPr>
        <w:t xml:space="preserve">ave been developed. The following information must be included in a complete set of financial statements: Net income, capital structure, notes, cash flow forecast (not for smaller companies), and audit reports are all required (if mandated by </w:t>
      </w:r>
      <w:r w:rsidRPr="00AC730A">
        <w:rPr>
          <w:rFonts w:ascii="Times New Roman" w:hAnsi="Times New Roman" w:cs="Times New Roman"/>
          <w:sz w:val="24"/>
          <w:szCs w:val="24"/>
        </w:rPr>
        <w:lastRenderedPageBreak/>
        <w:t>regulation)</w:t>
      </w:r>
      <w:r w:rsidR="00AF2458" w:rsidRPr="00AC730A">
        <w:rPr>
          <w:rFonts w:ascii="Times New Roman" w:hAnsi="Times New Roman" w:cs="Times New Roman"/>
          <w:sz w:val="24"/>
          <w:szCs w:val="24"/>
        </w:rPr>
        <w:t xml:space="preserve">. Some businesses have only a limited financial reporting responsibility. If one is subject to these regulations, they can establish a list of annual accounts predicated </w:t>
      </w:r>
      <w:r w:rsidR="004456AD" w:rsidRPr="00AC730A">
        <w:rPr>
          <w:rFonts w:ascii="Times New Roman" w:hAnsi="Times New Roman" w:cs="Times New Roman"/>
          <w:sz w:val="24"/>
          <w:szCs w:val="24"/>
        </w:rPr>
        <w:t>on the posted tax return and ado</w:t>
      </w:r>
      <w:r w:rsidR="00AF2458" w:rsidRPr="00AC730A">
        <w:rPr>
          <w:rFonts w:ascii="Times New Roman" w:hAnsi="Times New Roman" w:cs="Times New Roman"/>
          <w:sz w:val="24"/>
          <w:szCs w:val="24"/>
        </w:rPr>
        <w:t>pted note details. This pertains to sole proprietors and partnership firms that are beholden to the financial reporting responsibility and have no legitimate persons (enterprises) with liability as partners. They must also be subject to the Accounting Act's regulations for small businesses.</w:t>
      </w:r>
    </w:p>
    <w:p w:rsidR="00F068A8"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sz w:val="24"/>
          <w:szCs w:val="24"/>
        </w:rPr>
        <w:tab/>
        <w:t xml:space="preserve">Overall, annual </w:t>
      </w:r>
      <w:r w:rsidRPr="00AC730A">
        <w:rPr>
          <w:rFonts w:ascii="Times New Roman" w:hAnsi="Times New Roman" w:cs="Times New Roman"/>
          <w:sz w:val="24"/>
          <w:szCs w:val="24"/>
        </w:rPr>
        <w:t>accounts and financial statements must be authored in Norwegian</w:t>
      </w:r>
      <w:r w:rsidR="00774F3C" w:rsidRPr="00AC730A">
        <w:rPr>
          <w:rFonts w:ascii="Times New Roman" w:hAnsi="Times New Roman" w:cs="Times New Roman"/>
          <w:sz w:val="24"/>
          <w:szCs w:val="24"/>
        </w:rPr>
        <w:t xml:space="preserve"> (Zenya, 2019)</w:t>
      </w:r>
      <w:r w:rsidRPr="00AC730A">
        <w:rPr>
          <w:rFonts w:ascii="Times New Roman" w:hAnsi="Times New Roman" w:cs="Times New Roman"/>
          <w:sz w:val="24"/>
          <w:szCs w:val="24"/>
        </w:rPr>
        <w:t>. On assessment, the tax office may gran</w:t>
      </w:r>
      <w:r w:rsidR="002A6499" w:rsidRPr="00AC730A">
        <w:rPr>
          <w:rFonts w:ascii="Times New Roman" w:hAnsi="Times New Roman" w:cs="Times New Roman"/>
          <w:sz w:val="24"/>
          <w:szCs w:val="24"/>
        </w:rPr>
        <w:t xml:space="preserve">t a special exemption to use a language </w:t>
      </w:r>
      <w:r w:rsidRPr="00AC730A">
        <w:rPr>
          <w:rFonts w:ascii="Times New Roman" w:hAnsi="Times New Roman" w:cs="Times New Roman"/>
          <w:sz w:val="24"/>
          <w:szCs w:val="24"/>
        </w:rPr>
        <w:t>other than Norwegian. All trustees must mark the financial statement in the companies required to p</w:t>
      </w:r>
      <w:r w:rsidRPr="00AC730A">
        <w:rPr>
          <w:rFonts w:ascii="Times New Roman" w:hAnsi="Times New Roman" w:cs="Times New Roman"/>
          <w:sz w:val="24"/>
          <w:szCs w:val="24"/>
        </w:rPr>
        <w:t>repare accounts and have a panel. If the company has a corporate executive, they must sign the files as well. If the company does not have a board of directors or a corporate executive manager, the associates or representatives must sign.</w:t>
      </w:r>
      <w:r w:rsidR="003B504A" w:rsidRPr="00AC730A">
        <w:rPr>
          <w:rFonts w:ascii="Times New Roman" w:hAnsi="Times New Roman" w:cs="Times New Roman"/>
          <w:sz w:val="24"/>
          <w:szCs w:val="24"/>
        </w:rPr>
        <w:t xml:space="preserve"> A credentialed translation is needed when international records must are presented to authorities. As a result, these files must be interpreted and approved by a sworn interpreter before being accredited by a registrar, court, or other jurisdiction.</w:t>
      </w:r>
    </w:p>
    <w:p w:rsidR="00626068"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t>Format</w:t>
      </w:r>
    </w:p>
    <w:p w:rsidR="00626068"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b/>
          <w:sz w:val="24"/>
          <w:szCs w:val="24"/>
        </w:rPr>
        <w:tab/>
      </w:r>
      <w:r w:rsidRPr="00AC730A">
        <w:rPr>
          <w:rFonts w:ascii="Times New Roman" w:hAnsi="Times New Roman" w:cs="Times New Roman"/>
          <w:sz w:val="24"/>
          <w:szCs w:val="24"/>
        </w:rPr>
        <w:t>Annual accounts</w:t>
      </w:r>
      <w:r w:rsidRPr="00AC730A">
        <w:rPr>
          <w:rFonts w:ascii="Times New Roman" w:hAnsi="Times New Roman" w:cs="Times New Roman"/>
          <w:sz w:val="24"/>
          <w:szCs w:val="24"/>
        </w:rPr>
        <w:t xml:space="preserve"> and financial statements must be processed electronically through Altinn</w:t>
      </w:r>
      <w:r w:rsidR="004573D8" w:rsidRPr="00AC730A">
        <w:rPr>
          <w:rFonts w:ascii="Times New Roman" w:hAnsi="Times New Roman" w:cs="Times New Roman"/>
          <w:sz w:val="24"/>
          <w:szCs w:val="24"/>
        </w:rPr>
        <w:t xml:space="preserve"> (Duong &amp; Fledsberg, 2019)</w:t>
      </w:r>
      <w:r w:rsidRPr="00AC730A">
        <w:rPr>
          <w:rFonts w:ascii="Times New Roman" w:hAnsi="Times New Roman" w:cs="Times New Roman"/>
          <w:sz w:val="24"/>
          <w:szCs w:val="24"/>
        </w:rPr>
        <w:t>. Even if the business is defunct, it must still prepare and publish annual audited financial statements. This obligation extends to entities that are in the</w:t>
      </w:r>
      <w:r w:rsidRPr="00AC730A">
        <w:rPr>
          <w:rFonts w:ascii="Times New Roman" w:hAnsi="Times New Roman" w:cs="Times New Roman"/>
          <w:sz w:val="24"/>
          <w:szCs w:val="24"/>
        </w:rPr>
        <w:t xml:space="preserve"> process of being shut down until they are eventually dissolved. For new businesses, the first fiscal year may last up to 18 months. It means that firms founded on or after the 1st of July can choose whether to prepare accounting reports for the prevailing</w:t>
      </w:r>
      <w:r w:rsidRPr="00AC730A">
        <w:rPr>
          <w:rFonts w:ascii="Times New Roman" w:hAnsi="Times New Roman" w:cs="Times New Roman"/>
          <w:sz w:val="24"/>
          <w:szCs w:val="24"/>
        </w:rPr>
        <w:t xml:space="preserve"> year or merge them with those for the following year. This does not necessitate notifying the Register of Company Accounts. </w:t>
      </w:r>
      <w:r w:rsidRPr="00AC730A">
        <w:rPr>
          <w:rFonts w:ascii="Times New Roman" w:hAnsi="Times New Roman" w:cs="Times New Roman"/>
          <w:sz w:val="24"/>
          <w:szCs w:val="24"/>
        </w:rPr>
        <w:lastRenderedPageBreak/>
        <w:t>Though the IFRS and the national regulations are used in the country, entities listed in the stock exchange are mandated only to us</w:t>
      </w:r>
      <w:r w:rsidRPr="00AC730A">
        <w:rPr>
          <w:rFonts w:ascii="Times New Roman" w:hAnsi="Times New Roman" w:cs="Times New Roman"/>
          <w:sz w:val="24"/>
          <w:szCs w:val="24"/>
        </w:rPr>
        <w:t>e the IFRS. Others can decide to use the national guidelines that resemble the IFRS in many aspects.</w:t>
      </w:r>
    </w:p>
    <w:p w:rsidR="00EB618C"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t>Auditing and Certification</w:t>
      </w:r>
    </w:p>
    <w:p w:rsidR="00EB618C"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sz w:val="24"/>
          <w:szCs w:val="24"/>
        </w:rPr>
        <w:tab/>
        <w:t xml:space="preserve">Enterprises must hire a statutory compliance officer to undertake an audit work of their fiscal viability. Entities can get in </w:t>
      </w:r>
      <w:r w:rsidRPr="00AC730A">
        <w:rPr>
          <w:rFonts w:ascii="Times New Roman" w:hAnsi="Times New Roman" w:cs="Times New Roman"/>
          <w:sz w:val="24"/>
          <w:szCs w:val="24"/>
        </w:rPr>
        <w:t>touch with Norway's Financial Services Authority. Norwegian enterprises with operating revenue of about NOK 5 million, a cash flow total of about NOK 20 million, and a mean revenue of under ten man-labor years may opt-out of having their financial statemen</w:t>
      </w:r>
      <w:r w:rsidRPr="00AC730A">
        <w:rPr>
          <w:rFonts w:ascii="Times New Roman" w:hAnsi="Times New Roman" w:cs="Times New Roman"/>
          <w:sz w:val="24"/>
          <w:szCs w:val="24"/>
        </w:rPr>
        <w:t>ts audited. The annual meeting must endorse the financial statement and, if applicable, filings before six months to the end of the financial year. They must be delivered to the Register of Company Accounts within a month after the annual meeting for the r</w:t>
      </w:r>
      <w:r w:rsidRPr="00AC730A">
        <w:rPr>
          <w:rFonts w:ascii="Times New Roman" w:hAnsi="Times New Roman" w:cs="Times New Roman"/>
          <w:sz w:val="24"/>
          <w:szCs w:val="24"/>
        </w:rPr>
        <w:t>elevant agencies to establish them. Delayed payment penalties can be avoided if the comprehensive accounting records are submitted by the 31st of July.</w:t>
      </w:r>
    </w:p>
    <w:p w:rsidR="00700470" w:rsidRPr="00AC730A" w:rsidRDefault="00E9176D" w:rsidP="00AC730A">
      <w:pPr>
        <w:spacing w:after="0" w:line="480" w:lineRule="auto"/>
        <w:contextualSpacing/>
        <w:rPr>
          <w:rFonts w:ascii="Times New Roman" w:hAnsi="Times New Roman" w:cs="Times New Roman"/>
          <w:sz w:val="24"/>
          <w:szCs w:val="24"/>
        </w:rPr>
      </w:pPr>
      <w:r w:rsidRPr="00AC730A">
        <w:rPr>
          <w:rFonts w:ascii="Times New Roman" w:hAnsi="Times New Roman" w:cs="Times New Roman"/>
          <w:b/>
          <w:sz w:val="24"/>
          <w:szCs w:val="24"/>
        </w:rPr>
        <w:tab/>
      </w:r>
      <w:r w:rsidRPr="00AC730A">
        <w:rPr>
          <w:rFonts w:ascii="Times New Roman" w:hAnsi="Times New Roman" w:cs="Times New Roman"/>
          <w:sz w:val="24"/>
          <w:szCs w:val="24"/>
        </w:rPr>
        <w:t>To sum it up, accounting in Norway is governed by legislation, predominantly the Accounting Act of 1997</w:t>
      </w:r>
      <w:r w:rsidRPr="00AC730A">
        <w:rPr>
          <w:rFonts w:ascii="Times New Roman" w:hAnsi="Times New Roman" w:cs="Times New Roman"/>
          <w:sz w:val="24"/>
          <w:szCs w:val="24"/>
        </w:rPr>
        <w:t xml:space="preserve">. The Act clarifies things for local firms with revenues under a certain threshold. Norway has </w:t>
      </w:r>
      <w:r w:rsidR="00350AFF" w:rsidRPr="00AC730A">
        <w:rPr>
          <w:rFonts w:ascii="Times New Roman" w:hAnsi="Times New Roman" w:cs="Times New Roman"/>
          <w:sz w:val="24"/>
          <w:szCs w:val="24"/>
        </w:rPr>
        <w:t>implemented</w:t>
      </w:r>
      <w:r w:rsidRPr="00AC730A">
        <w:rPr>
          <w:rFonts w:ascii="Times New Roman" w:hAnsi="Times New Roman" w:cs="Times New Roman"/>
          <w:sz w:val="24"/>
          <w:szCs w:val="24"/>
        </w:rPr>
        <w:t xml:space="preserve"> the European IAS </w:t>
      </w:r>
      <w:r w:rsidR="00350AFF" w:rsidRPr="00AC730A">
        <w:rPr>
          <w:rFonts w:ascii="Times New Roman" w:hAnsi="Times New Roman" w:cs="Times New Roman"/>
          <w:sz w:val="24"/>
          <w:szCs w:val="24"/>
        </w:rPr>
        <w:t>Regulation</w:t>
      </w:r>
      <w:r w:rsidRPr="00AC730A">
        <w:rPr>
          <w:rFonts w:ascii="Times New Roman" w:hAnsi="Times New Roman" w:cs="Times New Roman"/>
          <w:sz w:val="24"/>
          <w:szCs w:val="24"/>
        </w:rPr>
        <w:t xml:space="preserve">, which </w:t>
      </w:r>
      <w:r w:rsidR="00350AFF" w:rsidRPr="00AC730A">
        <w:rPr>
          <w:rFonts w:ascii="Times New Roman" w:hAnsi="Times New Roman" w:cs="Times New Roman"/>
          <w:sz w:val="24"/>
          <w:szCs w:val="24"/>
        </w:rPr>
        <w:t>obliges</w:t>
      </w:r>
      <w:r w:rsidRPr="00AC730A">
        <w:rPr>
          <w:rFonts w:ascii="Times New Roman" w:hAnsi="Times New Roman" w:cs="Times New Roman"/>
          <w:sz w:val="24"/>
          <w:szCs w:val="24"/>
        </w:rPr>
        <w:t xml:space="preserve"> Norwe</w:t>
      </w:r>
      <w:r w:rsidR="00350AFF" w:rsidRPr="00AC730A">
        <w:rPr>
          <w:rFonts w:ascii="Times New Roman" w:hAnsi="Times New Roman" w:cs="Times New Roman"/>
          <w:sz w:val="24"/>
          <w:szCs w:val="24"/>
        </w:rPr>
        <w:t>gian listed entities to report comprehensive</w:t>
      </w:r>
      <w:r w:rsidRPr="00AC730A">
        <w:rPr>
          <w:rFonts w:ascii="Times New Roman" w:hAnsi="Times New Roman" w:cs="Times New Roman"/>
          <w:sz w:val="24"/>
          <w:szCs w:val="24"/>
        </w:rPr>
        <w:t xml:space="preserve"> financial statements in compliance with the IFRS. The NASB publishes accounting best practices and guidelines. The Norwegian Ministry of Finance is also responsible for policy guidelines on accounting. Aside from smaller firms, which may decide to use sep</w:t>
      </w:r>
      <w:r w:rsidRPr="00AC730A">
        <w:rPr>
          <w:rFonts w:ascii="Times New Roman" w:hAnsi="Times New Roman" w:cs="Times New Roman"/>
          <w:sz w:val="24"/>
          <w:szCs w:val="24"/>
        </w:rPr>
        <w:t>arate SMEs, all enterprises must apply the abovementioned guidelines. The Auditing and Auditors Act of the 15th of January 1999 (Audit Act) governs public bookkeepers to perform mandated audits and statutory auditing standards. Furthermore, under the Accou</w:t>
      </w:r>
      <w:r w:rsidRPr="00AC730A">
        <w:rPr>
          <w:rFonts w:ascii="Times New Roman" w:hAnsi="Times New Roman" w:cs="Times New Roman"/>
          <w:sz w:val="24"/>
          <w:szCs w:val="24"/>
        </w:rPr>
        <w:t xml:space="preserve">nting </w:t>
      </w:r>
      <w:r w:rsidRPr="00AC730A">
        <w:rPr>
          <w:rFonts w:ascii="Times New Roman" w:hAnsi="Times New Roman" w:cs="Times New Roman"/>
          <w:sz w:val="24"/>
          <w:szCs w:val="24"/>
        </w:rPr>
        <w:lastRenderedPageBreak/>
        <w:t>Act, all private limited companies must publish their audit reports and directors' and auditor's findings within a month of implementing the annual gathering.</w:t>
      </w:r>
      <w:r w:rsidR="00FB1643" w:rsidRPr="00AC730A">
        <w:rPr>
          <w:rFonts w:ascii="Times New Roman" w:hAnsi="Times New Roman" w:cs="Times New Roman"/>
          <w:sz w:val="24"/>
          <w:szCs w:val="24"/>
        </w:rPr>
        <w:t xml:space="preserve">  </w:t>
      </w: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4573D8" w:rsidRPr="00AC730A" w:rsidRDefault="004573D8" w:rsidP="00AC730A">
      <w:pPr>
        <w:spacing w:after="0" w:line="480" w:lineRule="auto"/>
        <w:contextualSpacing/>
        <w:jc w:val="center"/>
        <w:rPr>
          <w:rFonts w:ascii="Times New Roman" w:hAnsi="Times New Roman" w:cs="Times New Roman"/>
          <w:b/>
          <w:sz w:val="24"/>
          <w:szCs w:val="24"/>
        </w:rPr>
      </w:pPr>
    </w:p>
    <w:p w:rsidR="00186508" w:rsidRPr="00AC730A" w:rsidRDefault="00186508" w:rsidP="00AC730A">
      <w:pPr>
        <w:spacing w:after="0" w:line="480" w:lineRule="auto"/>
        <w:contextualSpacing/>
        <w:jc w:val="center"/>
        <w:rPr>
          <w:rFonts w:ascii="Times New Roman" w:hAnsi="Times New Roman" w:cs="Times New Roman"/>
          <w:b/>
          <w:sz w:val="24"/>
          <w:szCs w:val="24"/>
        </w:rPr>
      </w:pPr>
    </w:p>
    <w:p w:rsidR="00FB1643" w:rsidRPr="00AC730A" w:rsidRDefault="00E9176D" w:rsidP="00AC730A">
      <w:pPr>
        <w:spacing w:after="0" w:line="480" w:lineRule="auto"/>
        <w:contextualSpacing/>
        <w:jc w:val="center"/>
        <w:rPr>
          <w:rFonts w:ascii="Times New Roman" w:hAnsi="Times New Roman" w:cs="Times New Roman"/>
          <w:b/>
          <w:sz w:val="24"/>
          <w:szCs w:val="24"/>
        </w:rPr>
      </w:pPr>
      <w:r w:rsidRPr="00AC730A">
        <w:rPr>
          <w:rFonts w:ascii="Times New Roman" w:hAnsi="Times New Roman" w:cs="Times New Roman"/>
          <w:b/>
          <w:sz w:val="24"/>
          <w:szCs w:val="24"/>
        </w:rPr>
        <w:lastRenderedPageBreak/>
        <w:t>References</w:t>
      </w:r>
    </w:p>
    <w:p w:rsidR="004573D8" w:rsidRPr="00AC730A" w:rsidRDefault="00E9176D" w:rsidP="00AC730A">
      <w:pPr>
        <w:spacing w:after="0" w:line="480" w:lineRule="auto"/>
        <w:ind w:left="720" w:hanging="720"/>
        <w:contextualSpacing/>
        <w:rPr>
          <w:rFonts w:ascii="Times New Roman" w:hAnsi="Times New Roman" w:cs="Times New Roman"/>
          <w:color w:val="222222"/>
          <w:sz w:val="24"/>
          <w:szCs w:val="24"/>
          <w:shd w:val="clear" w:color="auto" w:fill="FFFFFF"/>
        </w:rPr>
      </w:pPr>
      <w:r w:rsidRPr="00AC730A">
        <w:rPr>
          <w:rFonts w:ascii="Times New Roman" w:hAnsi="Times New Roman" w:cs="Times New Roman"/>
          <w:sz w:val="24"/>
          <w:szCs w:val="24"/>
        </w:rPr>
        <w:t>Berg, T. S., &amp; Kvidal, M. B. (2017). </w:t>
      </w:r>
      <w:r w:rsidRPr="00AC730A">
        <w:rPr>
          <w:rFonts w:ascii="Times New Roman" w:hAnsi="Times New Roman" w:cs="Times New Roman"/>
          <w:i/>
          <w:iCs/>
          <w:sz w:val="24"/>
          <w:szCs w:val="24"/>
        </w:rPr>
        <w:t>The impact of governments on the performance of state-owned enterprises: evidence from Norway: an empirical study of the government effect on the performance differential between state-and privately owned enterprises</w:t>
      </w:r>
      <w:r w:rsidRPr="00AC730A">
        <w:rPr>
          <w:rFonts w:ascii="Times New Roman" w:hAnsi="Times New Roman" w:cs="Times New Roman"/>
          <w:sz w:val="24"/>
          <w:szCs w:val="24"/>
        </w:rPr>
        <w:t> (Master's thesis).</w:t>
      </w:r>
      <w:r w:rsidRPr="00AC730A">
        <w:rPr>
          <w:rFonts w:ascii="Times New Roman" w:hAnsi="Times New Roman" w:cs="Times New Roman"/>
          <w:color w:val="222222"/>
          <w:sz w:val="24"/>
          <w:szCs w:val="24"/>
          <w:shd w:val="clear" w:color="auto" w:fill="FFFFFF"/>
        </w:rPr>
        <w:t xml:space="preserve"> </w:t>
      </w:r>
    </w:p>
    <w:p w:rsidR="004573D8" w:rsidRPr="00AC730A" w:rsidRDefault="00E9176D" w:rsidP="00AC730A">
      <w:pPr>
        <w:spacing w:after="0" w:line="480" w:lineRule="auto"/>
        <w:ind w:left="720" w:hanging="720"/>
        <w:contextualSpacing/>
        <w:rPr>
          <w:rFonts w:ascii="Times New Roman" w:hAnsi="Times New Roman" w:cs="Times New Roman"/>
          <w:sz w:val="24"/>
          <w:szCs w:val="24"/>
        </w:rPr>
      </w:pPr>
      <w:r w:rsidRPr="00AC730A">
        <w:rPr>
          <w:rFonts w:ascii="Times New Roman" w:hAnsi="Times New Roman" w:cs="Times New Roman"/>
          <w:sz w:val="24"/>
          <w:szCs w:val="24"/>
        </w:rPr>
        <w:t xml:space="preserve">Duong, D. C. T., &amp; </w:t>
      </w:r>
      <w:r w:rsidRPr="00AC730A">
        <w:rPr>
          <w:rFonts w:ascii="Times New Roman" w:hAnsi="Times New Roman" w:cs="Times New Roman"/>
          <w:sz w:val="24"/>
          <w:szCs w:val="24"/>
        </w:rPr>
        <w:t>Fledsberg, K. (2019). </w:t>
      </w:r>
      <w:r w:rsidRPr="00AC730A">
        <w:rPr>
          <w:rFonts w:ascii="Times New Roman" w:hAnsi="Times New Roman" w:cs="Times New Roman"/>
          <w:i/>
          <w:iCs/>
          <w:sz w:val="24"/>
          <w:szCs w:val="24"/>
        </w:rPr>
        <w:t>Digitalization of the Accounting Industry: The influence of digitalization on the accountants’ role and their self-understanding. An exploratory study based on 13 Norwegian accounting firms</w:t>
      </w:r>
      <w:r w:rsidRPr="00AC730A">
        <w:rPr>
          <w:rFonts w:ascii="Times New Roman" w:hAnsi="Times New Roman" w:cs="Times New Roman"/>
          <w:sz w:val="24"/>
          <w:szCs w:val="24"/>
        </w:rPr>
        <w:t xml:space="preserve"> (Master's thesis, Universitetet I Agder; </w:t>
      </w:r>
      <w:r w:rsidRPr="00AC730A">
        <w:rPr>
          <w:rFonts w:ascii="Times New Roman" w:hAnsi="Times New Roman" w:cs="Times New Roman"/>
          <w:sz w:val="24"/>
          <w:szCs w:val="24"/>
        </w:rPr>
        <w:t>University of Agder).</w:t>
      </w:r>
    </w:p>
    <w:p w:rsidR="004573D8" w:rsidRPr="00AC730A" w:rsidRDefault="00E9176D" w:rsidP="00AC730A">
      <w:pPr>
        <w:spacing w:after="0" w:line="480" w:lineRule="auto"/>
        <w:ind w:left="720" w:hanging="720"/>
        <w:contextualSpacing/>
        <w:rPr>
          <w:rFonts w:ascii="Times New Roman" w:hAnsi="Times New Roman" w:cs="Times New Roman"/>
          <w:color w:val="222222"/>
          <w:sz w:val="24"/>
          <w:szCs w:val="24"/>
          <w:shd w:val="clear" w:color="auto" w:fill="FFFFFF"/>
        </w:rPr>
      </w:pPr>
      <w:r w:rsidRPr="00AC730A">
        <w:rPr>
          <w:rFonts w:ascii="Times New Roman" w:hAnsi="Times New Roman" w:cs="Times New Roman"/>
          <w:sz w:val="24"/>
          <w:szCs w:val="24"/>
        </w:rPr>
        <w:t xml:space="preserve">IFAC. (2021, the 16th of June). </w:t>
      </w:r>
      <w:r w:rsidRPr="00AC730A">
        <w:rPr>
          <w:rFonts w:ascii="Times New Roman" w:hAnsi="Times New Roman" w:cs="Times New Roman"/>
          <w:i/>
          <w:iCs/>
          <w:sz w:val="24"/>
          <w:szCs w:val="24"/>
        </w:rPr>
        <w:t>Norway</w:t>
      </w:r>
      <w:r w:rsidRPr="00AC730A">
        <w:rPr>
          <w:rFonts w:ascii="Times New Roman" w:hAnsi="Times New Roman" w:cs="Times New Roman"/>
          <w:sz w:val="24"/>
          <w:szCs w:val="24"/>
        </w:rPr>
        <w:t>. </w:t>
      </w:r>
      <w:hyperlink r:id="rId6" w:history="1">
        <w:r w:rsidRPr="00AC730A">
          <w:rPr>
            <w:rStyle w:val="Hyperlink"/>
            <w:rFonts w:ascii="Times New Roman" w:hAnsi="Times New Roman" w:cs="Times New Roman"/>
            <w:sz w:val="24"/>
            <w:szCs w:val="24"/>
          </w:rPr>
          <w:t>https://www.ifac.org/about-ifac/membership/country/norway</w:t>
        </w:r>
      </w:hyperlink>
    </w:p>
    <w:p w:rsidR="004573D8" w:rsidRPr="00AC730A" w:rsidRDefault="00E9176D" w:rsidP="00AC730A">
      <w:pPr>
        <w:spacing w:after="0" w:line="480" w:lineRule="auto"/>
        <w:ind w:left="720" w:hanging="720"/>
        <w:contextualSpacing/>
        <w:rPr>
          <w:rFonts w:ascii="Times New Roman" w:hAnsi="Times New Roman" w:cs="Times New Roman"/>
          <w:color w:val="000000"/>
          <w:sz w:val="24"/>
          <w:szCs w:val="24"/>
          <w:shd w:val="clear" w:color="auto" w:fill="FFFFFF"/>
        </w:rPr>
      </w:pPr>
      <w:r w:rsidRPr="00AC730A">
        <w:rPr>
          <w:rFonts w:ascii="Times New Roman" w:hAnsi="Times New Roman" w:cs="Times New Roman"/>
          <w:sz w:val="24"/>
          <w:szCs w:val="24"/>
        </w:rPr>
        <w:t>Kainth, A., &amp; Wahlstrøm, R. R. (2021). Do IFRS Promote Transpa</w:t>
      </w:r>
      <w:r w:rsidRPr="00AC730A">
        <w:rPr>
          <w:rFonts w:ascii="Times New Roman" w:hAnsi="Times New Roman" w:cs="Times New Roman"/>
          <w:sz w:val="24"/>
          <w:szCs w:val="24"/>
        </w:rPr>
        <w:t>rency? Evidence from the Bankruptcy Prediction of Privately Held Swedish and Norwegian Companies. </w:t>
      </w:r>
      <w:r w:rsidRPr="00AC730A">
        <w:rPr>
          <w:rFonts w:ascii="Times New Roman" w:hAnsi="Times New Roman" w:cs="Times New Roman"/>
          <w:i/>
          <w:iCs/>
          <w:sz w:val="24"/>
          <w:szCs w:val="24"/>
        </w:rPr>
        <w:t>Journal of Risk and Financial Management</w:t>
      </w:r>
      <w:r w:rsidRPr="00AC730A">
        <w:rPr>
          <w:rFonts w:ascii="Times New Roman" w:hAnsi="Times New Roman" w:cs="Times New Roman"/>
          <w:sz w:val="24"/>
          <w:szCs w:val="24"/>
        </w:rPr>
        <w:t>, </w:t>
      </w:r>
      <w:r w:rsidRPr="00AC730A">
        <w:rPr>
          <w:rFonts w:ascii="Times New Roman" w:hAnsi="Times New Roman" w:cs="Times New Roman"/>
          <w:i/>
          <w:iCs/>
          <w:sz w:val="24"/>
          <w:szCs w:val="24"/>
        </w:rPr>
        <w:t>14</w:t>
      </w:r>
      <w:r w:rsidRPr="00AC730A">
        <w:rPr>
          <w:rFonts w:ascii="Times New Roman" w:hAnsi="Times New Roman" w:cs="Times New Roman"/>
          <w:sz w:val="24"/>
          <w:szCs w:val="24"/>
        </w:rPr>
        <w:t>(3), 123.</w:t>
      </w:r>
      <w:r w:rsidRPr="00AC730A">
        <w:rPr>
          <w:rFonts w:ascii="Times New Roman" w:hAnsi="Times New Roman" w:cs="Times New Roman"/>
          <w:color w:val="000000"/>
          <w:sz w:val="24"/>
          <w:szCs w:val="24"/>
          <w:shd w:val="clear" w:color="auto" w:fill="FFFFFF"/>
        </w:rPr>
        <w:t xml:space="preserve"> </w:t>
      </w:r>
    </w:p>
    <w:p w:rsidR="004573D8" w:rsidRPr="00AC730A" w:rsidRDefault="00E9176D" w:rsidP="00AC730A">
      <w:pPr>
        <w:spacing w:after="0" w:line="480" w:lineRule="auto"/>
        <w:ind w:left="720" w:hanging="720"/>
        <w:contextualSpacing/>
        <w:rPr>
          <w:rFonts w:ascii="Times New Roman" w:hAnsi="Times New Roman" w:cs="Times New Roman"/>
          <w:color w:val="222222"/>
          <w:sz w:val="24"/>
          <w:szCs w:val="24"/>
          <w:shd w:val="clear" w:color="auto" w:fill="FFFFFF"/>
        </w:rPr>
      </w:pPr>
      <w:r w:rsidRPr="00AC730A">
        <w:rPr>
          <w:rFonts w:ascii="Times New Roman" w:hAnsi="Times New Roman" w:cs="Times New Roman"/>
          <w:sz w:val="24"/>
          <w:szCs w:val="24"/>
        </w:rPr>
        <w:t>Zenya, A. (2019). </w:t>
      </w:r>
      <w:r w:rsidRPr="00AC730A">
        <w:rPr>
          <w:rFonts w:ascii="Times New Roman" w:hAnsi="Times New Roman" w:cs="Times New Roman"/>
          <w:i/>
          <w:iCs/>
          <w:sz w:val="24"/>
          <w:szCs w:val="24"/>
        </w:rPr>
        <w:t xml:space="preserve">Mandatory CSR reporting and corporate financial performance: the causal effects of § </w:t>
      </w:r>
      <w:r w:rsidRPr="00AC730A">
        <w:rPr>
          <w:rFonts w:ascii="Times New Roman" w:hAnsi="Times New Roman" w:cs="Times New Roman"/>
          <w:i/>
          <w:iCs/>
          <w:sz w:val="24"/>
          <w:szCs w:val="24"/>
        </w:rPr>
        <w:t>3-3c in the accounting act on the financial performance of Norwegian companies</w:t>
      </w:r>
      <w:r w:rsidRPr="00AC730A">
        <w:rPr>
          <w:rFonts w:ascii="Times New Roman" w:hAnsi="Times New Roman" w:cs="Times New Roman"/>
          <w:sz w:val="24"/>
          <w:szCs w:val="24"/>
        </w:rPr>
        <w:t> (Master's thesis).</w:t>
      </w:r>
      <w:r w:rsidRPr="00AC730A">
        <w:rPr>
          <w:rFonts w:ascii="Times New Roman" w:hAnsi="Times New Roman" w:cs="Times New Roman"/>
          <w:color w:val="222222"/>
          <w:sz w:val="24"/>
          <w:szCs w:val="24"/>
          <w:shd w:val="clear" w:color="auto" w:fill="FFFFFF"/>
        </w:rPr>
        <w:t xml:space="preserve"> </w:t>
      </w:r>
    </w:p>
    <w:p w:rsidR="00EB618C" w:rsidRPr="00AC730A" w:rsidRDefault="00EB618C" w:rsidP="00AC730A">
      <w:pPr>
        <w:spacing w:after="0" w:line="480" w:lineRule="auto"/>
        <w:contextualSpacing/>
        <w:rPr>
          <w:rFonts w:ascii="Times New Roman" w:hAnsi="Times New Roman" w:cs="Times New Roman"/>
          <w:sz w:val="24"/>
          <w:szCs w:val="24"/>
        </w:rPr>
      </w:pPr>
    </w:p>
    <w:p w:rsidR="00F769CF" w:rsidRPr="00AC730A" w:rsidRDefault="00F769CF" w:rsidP="00AC730A">
      <w:pPr>
        <w:spacing w:after="0" w:line="480" w:lineRule="auto"/>
        <w:contextualSpacing/>
        <w:rPr>
          <w:rFonts w:ascii="Times New Roman" w:hAnsi="Times New Roman" w:cs="Times New Roman"/>
          <w:sz w:val="24"/>
          <w:szCs w:val="24"/>
        </w:rPr>
      </w:pPr>
    </w:p>
    <w:p w:rsidR="00871996" w:rsidRPr="00AC730A" w:rsidRDefault="00871996" w:rsidP="00AC730A">
      <w:pPr>
        <w:spacing w:after="0" w:line="480" w:lineRule="auto"/>
        <w:contextualSpacing/>
        <w:rPr>
          <w:rFonts w:ascii="Times New Roman" w:hAnsi="Times New Roman" w:cs="Times New Roman"/>
          <w:sz w:val="24"/>
          <w:szCs w:val="24"/>
        </w:rPr>
      </w:pPr>
    </w:p>
    <w:sectPr w:rsidR="00871996" w:rsidRPr="00AC73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76D" w:rsidRDefault="00E9176D">
      <w:pPr>
        <w:spacing w:after="0" w:line="240" w:lineRule="auto"/>
      </w:pPr>
      <w:r>
        <w:separator/>
      </w:r>
    </w:p>
  </w:endnote>
  <w:endnote w:type="continuationSeparator" w:id="0">
    <w:p w:rsidR="00E9176D" w:rsidRDefault="00E91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76D" w:rsidRDefault="00E9176D">
      <w:pPr>
        <w:spacing w:after="0" w:line="240" w:lineRule="auto"/>
      </w:pPr>
      <w:r>
        <w:separator/>
      </w:r>
    </w:p>
  </w:footnote>
  <w:footnote w:type="continuationSeparator" w:id="0">
    <w:p w:rsidR="00E9176D" w:rsidRDefault="00E917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417724"/>
      <w:docPartObj>
        <w:docPartGallery w:val="Page Numbers (Top of Page)"/>
        <w:docPartUnique/>
      </w:docPartObj>
    </w:sdtPr>
    <w:sdtEndPr>
      <w:rPr>
        <w:noProof/>
      </w:rPr>
    </w:sdtEndPr>
    <w:sdtContent>
      <w:p w:rsidR="002916DA" w:rsidRDefault="00E9176D">
        <w:pPr>
          <w:pStyle w:val="Header"/>
          <w:jc w:val="right"/>
        </w:pPr>
        <w:r>
          <w:fldChar w:fldCharType="begin"/>
        </w:r>
        <w:r>
          <w:instrText xml:space="preserve"> PAGE   \* MERGEFORMAT </w:instrText>
        </w:r>
        <w:r>
          <w:fldChar w:fldCharType="separate"/>
        </w:r>
        <w:r w:rsidR="00F458E2">
          <w:rPr>
            <w:noProof/>
          </w:rPr>
          <w:t>5</w:t>
        </w:r>
        <w:r>
          <w:rPr>
            <w:noProof/>
          </w:rPr>
          <w:fldChar w:fldCharType="end"/>
        </w:r>
      </w:p>
    </w:sdtContent>
  </w:sdt>
  <w:p w:rsidR="002916DA" w:rsidRDefault="00291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DA"/>
    <w:rsid w:val="00005886"/>
    <w:rsid w:val="0001712A"/>
    <w:rsid w:val="00022D44"/>
    <w:rsid w:val="00023451"/>
    <w:rsid w:val="00142CCC"/>
    <w:rsid w:val="00186508"/>
    <w:rsid w:val="001A279F"/>
    <w:rsid w:val="001B523A"/>
    <w:rsid w:val="002751B7"/>
    <w:rsid w:val="002916DA"/>
    <w:rsid w:val="002A6499"/>
    <w:rsid w:val="002F0FC9"/>
    <w:rsid w:val="00350AFF"/>
    <w:rsid w:val="0036630A"/>
    <w:rsid w:val="003B3810"/>
    <w:rsid w:val="003B504A"/>
    <w:rsid w:val="003C245E"/>
    <w:rsid w:val="00441C9C"/>
    <w:rsid w:val="004456AD"/>
    <w:rsid w:val="004573D8"/>
    <w:rsid w:val="00475271"/>
    <w:rsid w:val="00485AF7"/>
    <w:rsid w:val="005072D0"/>
    <w:rsid w:val="00544586"/>
    <w:rsid w:val="00562EED"/>
    <w:rsid w:val="005D734C"/>
    <w:rsid w:val="00626068"/>
    <w:rsid w:val="006C1CC0"/>
    <w:rsid w:val="00700470"/>
    <w:rsid w:val="00730A5F"/>
    <w:rsid w:val="0075145F"/>
    <w:rsid w:val="00763A9F"/>
    <w:rsid w:val="00774F3C"/>
    <w:rsid w:val="007C0115"/>
    <w:rsid w:val="007C1DDB"/>
    <w:rsid w:val="007E6CA5"/>
    <w:rsid w:val="00871996"/>
    <w:rsid w:val="008C064E"/>
    <w:rsid w:val="0094733D"/>
    <w:rsid w:val="009E7E10"/>
    <w:rsid w:val="00AB0D3D"/>
    <w:rsid w:val="00AC730A"/>
    <w:rsid w:val="00AF2458"/>
    <w:rsid w:val="00BE3574"/>
    <w:rsid w:val="00C5551F"/>
    <w:rsid w:val="00D87E58"/>
    <w:rsid w:val="00E12494"/>
    <w:rsid w:val="00E75E17"/>
    <w:rsid w:val="00E9176D"/>
    <w:rsid w:val="00EB618C"/>
    <w:rsid w:val="00F068A8"/>
    <w:rsid w:val="00F458E2"/>
    <w:rsid w:val="00F769CF"/>
    <w:rsid w:val="00FB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BAE0"/>
  <w15:chartTrackingRefBased/>
  <w15:docId w15:val="{F5CF202E-45D4-4E8D-8CA8-F135A7B9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6DA"/>
  </w:style>
  <w:style w:type="paragraph" w:styleId="Footer">
    <w:name w:val="footer"/>
    <w:basedOn w:val="Normal"/>
    <w:link w:val="FooterChar"/>
    <w:uiPriority w:val="99"/>
    <w:unhideWhenUsed/>
    <w:rsid w:val="00291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6DA"/>
  </w:style>
  <w:style w:type="character" w:styleId="Hyperlink">
    <w:name w:val="Hyperlink"/>
    <w:basedOn w:val="DefaultParagraphFont"/>
    <w:uiPriority w:val="99"/>
    <w:unhideWhenUsed/>
    <w:rsid w:val="001A27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fac.org/about-ifac/membership/country/norwa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8</Pages>
  <Words>1669</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42</cp:revision>
  <dcterms:created xsi:type="dcterms:W3CDTF">2021-10-06T06:51:00Z</dcterms:created>
  <dcterms:modified xsi:type="dcterms:W3CDTF">2021-10-06T14:29:00Z</dcterms:modified>
</cp:coreProperties>
</file>